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6DC7" w:rsidRDefault="00F86DC7" w:rsidP="00F86DC7">
      <w:pPr>
        <w:jc w:val="center"/>
        <w:rPr>
          <w:b/>
          <w:sz w:val="24"/>
          <w:szCs w:val="24"/>
        </w:rPr>
      </w:pPr>
      <w:r>
        <w:rPr>
          <w:b/>
          <w:color w:val="000000"/>
          <w:sz w:val="24"/>
          <w:szCs w:val="24"/>
        </w:rPr>
        <w:t>NON-MONETARY REWARD SYSTEM AND AGRICULTURAL SCIENCE TEACHERS’ WORK ATTITUDE IN JUNIOR SECONDARY SCHOOLS IN OGOJA LOCAL GOVERNMENT AREA, CROSS RIVER STATE, NIGERIA</w:t>
      </w:r>
    </w:p>
    <w:p w:rsidR="00F86DC7" w:rsidRDefault="00F86DC7" w:rsidP="00F86DC7">
      <w:pPr>
        <w:ind w:firstLine="720"/>
        <w:jc w:val="both"/>
        <w:rPr>
          <w:rFonts w:eastAsia="Cambria"/>
        </w:rPr>
      </w:pPr>
      <w:r>
        <w:rPr>
          <w:rFonts w:eastAsia="Cambria"/>
        </w:rPr>
        <w:t xml:space="preserve"> </w:t>
      </w:r>
    </w:p>
    <w:p w:rsidR="00F86DC7" w:rsidRDefault="00F86DC7" w:rsidP="00F86DC7">
      <w:pPr>
        <w:pStyle w:val="NoSpacing"/>
        <w:spacing w:before="0" w:beforeAutospacing="0"/>
        <w:rPr>
          <w:rFonts w:ascii="Times New Roman" w:eastAsia="Cambria" w:hAnsi="Times New Roman"/>
          <w:b/>
          <w:bCs/>
          <w:i/>
          <w:iCs/>
          <w:sz w:val="24"/>
          <w:szCs w:val="24"/>
        </w:rPr>
      </w:pPr>
      <w:r>
        <w:rPr>
          <w:rFonts w:ascii="Times New Roman" w:eastAsia="Cambria" w:hAnsi="Times New Roman"/>
          <w:b/>
          <w:bCs/>
          <w:i/>
          <w:iCs/>
          <w:sz w:val="24"/>
          <w:szCs w:val="24"/>
        </w:rPr>
        <w:t>Sylvester</w:t>
      </w:r>
      <w:r>
        <w:rPr>
          <w:rFonts w:ascii="Times New Roman" w:eastAsia="Calibri" w:hAnsi="Times New Roman"/>
          <w:b/>
          <w:bCs/>
          <w:i/>
          <w:iCs/>
          <w:sz w:val="24"/>
          <w:szCs w:val="24"/>
        </w:rPr>
        <w:t xml:space="preserve"> Okon Asuquo</w:t>
      </w:r>
      <w:r>
        <w:rPr>
          <w:rFonts w:ascii="Times New Roman" w:eastAsia="Cambria" w:hAnsi="Times New Roman"/>
          <w:b/>
          <w:bCs/>
          <w:i/>
          <w:iCs/>
          <w:sz w:val="24"/>
          <w:szCs w:val="24"/>
        </w:rPr>
        <w:t xml:space="preserve"> </w:t>
      </w:r>
    </w:p>
    <w:p w:rsidR="00F86DC7" w:rsidRDefault="00F86DC7" w:rsidP="00F86DC7">
      <w:pPr>
        <w:pStyle w:val="NoSpacing"/>
        <w:spacing w:before="0" w:beforeAutospacing="0"/>
        <w:rPr>
          <w:rFonts w:ascii="Times New Roman" w:eastAsia="Cambria" w:hAnsi="Times New Roman"/>
          <w:sz w:val="24"/>
          <w:szCs w:val="24"/>
        </w:rPr>
      </w:pPr>
      <w:r>
        <w:rPr>
          <w:rFonts w:ascii="Times New Roman" w:eastAsia="Cambria" w:hAnsi="Times New Roman"/>
          <w:sz w:val="24"/>
          <w:szCs w:val="24"/>
        </w:rPr>
        <w:t>Faculty of Education and Human Sciences, Department of Intermediate and Vocational Education, University of Namibia, Hifikepunye Pohamba Campus, Namibia</w:t>
      </w:r>
    </w:p>
    <w:p w:rsidR="00F86DC7" w:rsidRDefault="00F86DC7" w:rsidP="00F86DC7">
      <w:pPr>
        <w:rPr>
          <w:rFonts w:eastAsia="Cambria"/>
          <w:sz w:val="24"/>
          <w:szCs w:val="24"/>
        </w:rPr>
      </w:pPr>
      <w:r>
        <w:rPr>
          <w:rFonts w:eastAsia="Cambria"/>
          <w:sz w:val="24"/>
          <w:szCs w:val="24"/>
        </w:rPr>
        <w:t xml:space="preserve"> </w:t>
      </w:r>
    </w:p>
    <w:p w:rsidR="00F86DC7" w:rsidRDefault="00F86DC7" w:rsidP="00F86DC7">
      <w:pPr>
        <w:pStyle w:val="NoSpacing"/>
        <w:spacing w:before="0" w:beforeAutospacing="0"/>
        <w:rPr>
          <w:rFonts w:ascii="Times New Roman" w:eastAsia="Calibri" w:hAnsi="Times New Roman"/>
          <w:b/>
          <w:bCs/>
          <w:i/>
          <w:iCs/>
          <w:sz w:val="24"/>
          <w:szCs w:val="24"/>
        </w:rPr>
      </w:pPr>
      <w:r>
        <w:rPr>
          <w:rFonts w:ascii="Times New Roman" w:eastAsia="Calibri" w:hAnsi="Times New Roman"/>
          <w:b/>
          <w:bCs/>
          <w:i/>
          <w:iCs/>
          <w:sz w:val="24"/>
          <w:szCs w:val="24"/>
        </w:rPr>
        <w:t>Adie, Linus Akomaye</w:t>
      </w:r>
    </w:p>
    <w:p w:rsidR="00F86DC7" w:rsidRDefault="00F86DC7" w:rsidP="00F86DC7">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Department of Agricultural Economics and Extension</w:t>
      </w:r>
    </w:p>
    <w:p w:rsidR="00F86DC7" w:rsidRDefault="00F86DC7" w:rsidP="00F86DC7">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Faculty of Agriculture &amp; Life Sciences Federal University, Wukari, Nigeria</w:t>
      </w:r>
    </w:p>
    <w:p w:rsidR="00F86DC7" w:rsidRDefault="00F86DC7" w:rsidP="00F86DC7">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 xml:space="preserve"> </w:t>
      </w:r>
    </w:p>
    <w:p w:rsidR="00F86DC7" w:rsidRDefault="00F86DC7" w:rsidP="00F86DC7">
      <w:pPr>
        <w:pStyle w:val="NoSpacing"/>
        <w:spacing w:before="0" w:beforeAutospacing="0"/>
        <w:rPr>
          <w:rFonts w:ascii="Times New Roman" w:eastAsia="Calibri" w:hAnsi="Times New Roman"/>
          <w:b/>
          <w:bCs/>
          <w:i/>
          <w:iCs/>
          <w:sz w:val="24"/>
          <w:szCs w:val="24"/>
        </w:rPr>
      </w:pPr>
      <w:r>
        <w:rPr>
          <w:rFonts w:ascii="Times New Roman" w:eastAsia="Calibri" w:hAnsi="Times New Roman"/>
          <w:b/>
          <w:bCs/>
          <w:i/>
          <w:iCs/>
          <w:sz w:val="24"/>
          <w:szCs w:val="24"/>
        </w:rPr>
        <w:t xml:space="preserve">Camilus Bassey Ben </w:t>
      </w:r>
    </w:p>
    <w:p w:rsidR="00F86DC7" w:rsidRDefault="00F86DC7" w:rsidP="00F86DC7">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Department of Agricultural Science, Faculty of Vocational and Entrepreneurial Education, University of Calabar, Calabar, Nigeria</w:t>
      </w:r>
    </w:p>
    <w:p w:rsidR="00F86DC7" w:rsidRDefault="00F86DC7" w:rsidP="00F86DC7">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 xml:space="preserve"> </w:t>
      </w:r>
    </w:p>
    <w:p w:rsidR="00F86DC7" w:rsidRDefault="00F86DC7" w:rsidP="00F86DC7">
      <w:pPr>
        <w:ind w:firstLine="720"/>
        <w:jc w:val="both"/>
        <w:rPr>
          <w:bCs/>
          <w:sz w:val="24"/>
          <w:szCs w:val="24"/>
        </w:rPr>
      </w:pPr>
      <w:r>
        <w:rPr>
          <w:bCs/>
          <w:sz w:val="24"/>
          <w:szCs w:val="24"/>
        </w:rPr>
        <w:t xml:space="preserve"> </w:t>
      </w:r>
    </w:p>
    <w:p w:rsidR="00F86DC7" w:rsidRDefault="00F86DC7" w:rsidP="00F86DC7">
      <w:pPr>
        <w:jc w:val="both"/>
        <w:rPr>
          <w:b/>
          <w:bCs/>
          <w:color w:val="000000"/>
          <w:sz w:val="24"/>
          <w:szCs w:val="24"/>
        </w:rPr>
      </w:pPr>
      <w:r>
        <w:rPr>
          <w:b/>
          <w:bCs/>
          <w:color w:val="000000"/>
          <w:sz w:val="24"/>
          <w:szCs w:val="24"/>
        </w:rPr>
        <w:t>Abstract</w:t>
      </w:r>
    </w:p>
    <w:p w:rsidR="00F86DC7" w:rsidRDefault="00F86DC7" w:rsidP="00F86DC7">
      <w:pPr>
        <w:jc w:val="both"/>
        <w:rPr>
          <w:sz w:val="24"/>
          <w:szCs w:val="24"/>
        </w:rPr>
      </w:pPr>
      <w:r>
        <w:rPr>
          <w:color w:val="000000"/>
          <w:sz w:val="24"/>
          <w:szCs w:val="24"/>
        </w:rPr>
        <w:t xml:space="preserve">The study was investigated  the influence of non-monetary reward system on Agricultural science teachers’ attitude to work in junior secondary schools in Ogoja Local Government Area, Cross River State, Nigeria.  One research question and one hypotheses guided the study.  Review of literature was duly done based on the objective of the study. Non-Monetary Reward System Inventory and Teachers ‘Work Attitude Questionnaire were the instruments used for data collection. The instruments were administered to 26 agricultural Science teachers and 96 in junior secondary schools in Ogoja Local Government Area, Cross River State.  Survey design was used for the study. The data was analyzed with Mean and Simple Linear Regression statistics. The hypotheses were tested at 0.05 degree of significance. The finding of the study revealed that non-monetay rewards </w:t>
      </w:r>
      <w:r>
        <w:rPr>
          <w:sz w:val="24"/>
          <w:szCs w:val="24"/>
        </w:rPr>
        <w:t>significantly influenced agricultural science teachers’ work attitude</w:t>
      </w:r>
      <w:r>
        <w:rPr>
          <w:color w:val="000000"/>
          <w:sz w:val="24"/>
          <w:szCs w:val="24"/>
        </w:rPr>
        <w:t xml:space="preserve"> in junior secondary schools in Ogoja Local Government Area, Cross River State, Nigeria. Based on this finding, it was recommended among others that Agricultural science teachers should be provided with sensitive non-financial rewards such as comfortable accommodation within the school compound, awards, and recognitions </w:t>
      </w:r>
      <w:r>
        <w:rPr>
          <w:sz w:val="24"/>
          <w:szCs w:val="24"/>
        </w:rPr>
        <w:t>by the Cross River State Government to enhance their positive work disposition.</w:t>
      </w:r>
    </w:p>
    <w:p w:rsidR="00F86DC7" w:rsidRDefault="00F86DC7" w:rsidP="00F86DC7">
      <w:pPr>
        <w:rPr>
          <w:b/>
          <w:bCs/>
          <w:color w:val="000000"/>
          <w:sz w:val="24"/>
          <w:szCs w:val="24"/>
        </w:rPr>
      </w:pPr>
      <w:r>
        <w:rPr>
          <w:b/>
          <w:bCs/>
          <w:color w:val="000000"/>
          <w:sz w:val="24"/>
          <w:szCs w:val="24"/>
        </w:rPr>
        <w:t xml:space="preserve">KEYWORDS:  </w:t>
      </w:r>
      <w:r>
        <w:rPr>
          <w:color w:val="000000"/>
          <w:sz w:val="24"/>
          <w:szCs w:val="24"/>
        </w:rPr>
        <w:t>Reward Systems, Attitude to Work, Agricultural Science Teacher</w:t>
      </w:r>
    </w:p>
    <w:p w:rsidR="00F86DC7" w:rsidRDefault="00F86DC7" w:rsidP="00F86DC7">
      <w:pPr>
        <w:rPr>
          <w:b/>
          <w:bCs/>
          <w:color w:val="000000"/>
          <w:sz w:val="24"/>
          <w:szCs w:val="24"/>
        </w:rPr>
      </w:pPr>
    </w:p>
    <w:p w:rsidR="00F86DC7" w:rsidRDefault="00F86DC7" w:rsidP="00F86DC7">
      <w:pPr>
        <w:rPr>
          <w:b/>
          <w:bCs/>
          <w:color w:val="000000"/>
          <w:sz w:val="24"/>
          <w:szCs w:val="24"/>
        </w:rPr>
      </w:pPr>
      <w:r>
        <w:rPr>
          <w:b/>
          <w:bCs/>
          <w:color w:val="000000"/>
          <w:sz w:val="24"/>
          <w:szCs w:val="24"/>
        </w:rPr>
        <w:t xml:space="preserve">Introduction </w:t>
      </w:r>
    </w:p>
    <w:p w:rsidR="00F86DC7" w:rsidRDefault="00F86DC7" w:rsidP="00F86DC7">
      <w:pPr>
        <w:ind w:firstLine="720"/>
        <w:jc w:val="both"/>
        <w:rPr>
          <w:color w:val="000000"/>
          <w:sz w:val="24"/>
          <w:szCs w:val="24"/>
        </w:rPr>
      </w:pPr>
      <w:r>
        <w:rPr>
          <w:color w:val="000000"/>
          <w:sz w:val="24"/>
          <w:szCs w:val="24"/>
        </w:rPr>
        <w:t xml:space="preserve">A reward system is a psychological concept and mechanism that encourages certain behaviors by providing positive reinforcement or rewards. These rewards can be tangible or intangible and are given to reinforce desired behaviors or outcomes.  A reward system in any organization is a means of sustaining the worker on the job. It is a motivating factor that influences the attitude of the worker on the job. According to International Labour Organization (ILO) (2018) rewarding employees when appropriate shows them that they are valued and that, their hard work and achievements are noticed. Rewards affect the success or failure of an organization. It provides the incentive to achieve the top productivity from employees. Rewards can drive desired behaviours and improve job satisfaction. Some rewards may cost money, whereas others are investments in time and effort. All can contribute to a more pleasant work environment. When employees are motivated by workplace atmosphere of mutual respect and encourages other workers show respect to each other (Microsoft Encarta, 2021). </w:t>
      </w:r>
    </w:p>
    <w:p w:rsidR="00F86DC7" w:rsidRDefault="00F86DC7" w:rsidP="00F86DC7">
      <w:pPr>
        <w:ind w:firstLine="720"/>
        <w:jc w:val="both"/>
        <w:rPr>
          <w:color w:val="000000"/>
          <w:sz w:val="24"/>
          <w:szCs w:val="24"/>
        </w:rPr>
      </w:pPr>
      <w:r>
        <w:rPr>
          <w:color w:val="000000"/>
          <w:sz w:val="24"/>
          <w:szCs w:val="24"/>
        </w:rPr>
        <w:t xml:space="preserve"> Reward systems differ with context. In educational settings, teachers might use a reward system to motivate students. This could include a gift, extra recess time, or praise for good performance. In the workplace, employers may implement reward systems to boost employee morale and productivity. This could be in the form of bonuses, promotions, recognition programmes, or other incentives. In parenting, parents often use reward systems to encourage good behavior in children, such as gifts, praise treats, or extra playtime for completing chores or behaving well. In behavioral psychology, a reward system involves using positive reinforcement to increase the likelihood of a desired behavior. This is often used in therapeutic settings to encourage positive behavioral changes.</w:t>
      </w:r>
    </w:p>
    <w:p w:rsidR="00F86DC7" w:rsidRDefault="00F86DC7" w:rsidP="00F86DC7">
      <w:pPr>
        <w:ind w:firstLine="720"/>
        <w:jc w:val="both"/>
        <w:rPr>
          <w:color w:val="000000"/>
          <w:sz w:val="24"/>
          <w:szCs w:val="24"/>
        </w:rPr>
      </w:pPr>
      <w:r>
        <w:rPr>
          <w:color w:val="000000"/>
          <w:sz w:val="24"/>
          <w:szCs w:val="24"/>
        </w:rPr>
        <w:t>The teaching profession has its goals and objectives; to produce high quality students who will be able to contribute towards national development, become meaningful to their societies, become relevant to themselves and their families, and improve the quality of the environment. The attainment of their goals depends largely on the ways and manners through which those vested with the responsibilities are appreciated or rewarded. A teacher’s attitude to work may be positive or negative depending on the way they perceive the rewards attached to their jobs. In other words, the reward systems available to the teaching professionals go a long way to determine how teachers perform their jobs.</w:t>
      </w:r>
    </w:p>
    <w:p w:rsidR="00F86DC7" w:rsidRDefault="00F86DC7" w:rsidP="00F86DC7">
      <w:pPr>
        <w:tabs>
          <w:tab w:val="left" w:pos="720"/>
        </w:tabs>
        <w:ind w:firstLine="720"/>
        <w:jc w:val="both"/>
        <w:rPr>
          <w:rFonts w:eastAsia="SimSun"/>
          <w:sz w:val="24"/>
          <w:szCs w:val="24"/>
        </w:rPr>
      </w:pPr>
      <w:r>
        <w:rPr>
          <w:color w:val="000000"/>
          <w:sz w:val="24"/>
          <w:szCs w:val="24"/>
        </w:rPr>
        <w:t xml:space="preserve">Reward systems for enhancing teachers' work performance can be highly effective in motivating and retaining educators. Ben (2023) enumerated some common teachers’ reward systems used in educational settings as follows: (i) financial incentives: This includes bonuses, salary increases, and performance-based pay; (ii) professional development opportunities: Providing teachers with opportunities for further education, training, and professional growth. This might include workshops, conferences, or advanced degree programs. (iii) Recognition programmes: publicly acknowledging teachers' hard work and achievements to boost morale. This can be done through awards like "Teacher of the Month," certificates, or recognition ceremonies. (iv)Non-monetary benefits: These can include additional vacation days, flexible work schedules, or improved working conditions. (v) Career advancement: offering opportunities for career progression, such as promotions to leadership roles or specialized positions, can motivate teachers to perform well. (vi)Supportive work environment: creating a positive and supportive work environment where teachers feel valued and respected can be a powerful motivator. This includes providing adequate resources, reducing class sizes, and fostering a collaborative culture (vii) teacher lounge upgrades: improving the physical environment where teachers spend their breaks time can be a simple yet effective way to show appreciation. Comfortable and well-equipped lounges can make a big difference, (viii) Wellness programmes: implementing wellness programs that focus on teachers' physical and mental health can be beneficial. This might include gym memberships, stress management workshops, or health screenings (ix) educational grants and scholarships: providing grants and scholarships for teachers to pursue further education or special projects can be a valuable reward (x) flexible work arrangements: allowing teachers to have flexible work hours or the option of working from home for certain tasks can improve their work-life balance and job satisfaction. These reward systems can help enhance teachers' motivation, job satisfaction, and overall performance, ultimately leading to better educational outcomes for students </w:t>
      </w:r>
      <w:r>
        <w:rPr>
          <w:sz w:val="24"/>
          <w:szCs w:val="24"/>
        </w:rPr>
        <w:t>and adaptability to changes; and helps maintain a competitive edge</w:t>
      </w:r>
      <w:r>
        <w:rPr>
          <w:rFonts w:eastAsia="SimSun"/>
          <w:sz w:val="24"/>
          <w:szCs w:val="24"/>
        </w:rPr>
        <w:t xml:space="preserve"> (Abia, 2023). </w:t>
      </w:r>
      <w:r>
        <w:rPr>
          <w:color w:val="000000"/>
          <w:sz w:val="24"/>
          <w:szCs w:val="24"/>
        </w:rPr>
        <w:t xml:space="preserve">The morale of teachers is likely to fall if there is noticeable disparity between their condition of service and those of others and this may lead to mass exodus of teachers to more lucrative employment. The attitude of the teachers towards their job reflects what the job offers them. </w:t>
      </w:r>
    </w:p>
    <w:p w:rsidR="00F86DC7" w:rsidRDefault="00F86DC7" w:rsidP="00F86DC7">
      <w:pPr>
        <w:tabs>
          <w:tab w:val="left" w:pos="720"/>
        </w:tabs>
        <w:ind w:firstLine="720"/>
        <w:jc w:val="both"/>
        <w:rPr>
          <w:color w:val="000000"/>
          <w:sz w:val="24"/>
          <w:szCs w:val="24"/>
        </w:rPr>
      </w:pPr>
      <w:r>
        <w:rPr>
          <w:color w:val="000000"/>
          <w:sz w:val="24"/>
          <w:szCs w:val="24"/>
        </w:rPr>
        <w:t xml:space="preserve">A critical issue to consider both in developing an effective reward system and improving teachers’ attitude to work is that of non-monetary benefits (Edem, 2017).  </w:t>
      </w:r>
      <w:r>
        <w:rPr>
          <w:sz w:val="24"/>
          <w:szCs w:val="24"/>
        </w:rPr>
        <w:t xml:space="preserve">Non-monetary benefits in a job are perks or advantages that employees receive beyond financial compensation, designed to enhance job satisfaction, work-life balance, and overall well-being. </w:t>
      </w:r>
      <w:r>
        <w:rPr>
          <w:color w:val="000000"/>
          <w:sz w:val="24"/>
          <w:szCs w:val="24"/>
        </w:rPr>
        <w:t xml:space="preserve">Edem (2022) groups </w:t>
      </w:r>
      <w:r>
        <w:rPr>
          <w:rStyle w:val="15"/>
          <w:rFonts w:eastAsia="SimSun"/>
          <w:sz w:val="24"/>
          <w:szCs w:val="24"/>
        </w:rPr>
        <w:t>non-monetary benefits into the following categories:</w:t>
      </w:r>
      <w:r>
        <w:rPr>
          <w:sz w:val="24"/>
          <w:szCs w:val="24"/>
        </w:rPr>
        <w:t xml:space="preserve"> (i) </w:t>
      </w:r>
      <w:r>
        <w:rPr>
          <w:rStyle w:val="15"/>
          <w:rFonts w:eastAsia="SimSun"/>
          <w:sz w:val="24"/>
          <w:szCs w:val="24"/>
        </w:rPr>
        <w:t>work-life balance</w:t>
      </w:r>
      <w:r>
        <w:rPr>
          <w:sz w:val="24"/>
          <w:szCs w:val="24"/>
        </w:rPr>
        <w:t xml:space="preserve"> which includes flexible working hours, remote work or telecommuting opportunities, extra vacation or leave days; (ii) </w:t>
      </w:r>
      <w:r>
        <w:rPr>
          <w:rStyle w:val="15"/>
          <w:rFonts w:eastAsia="SimSun"/>
          <w:sz w:val="24"/>
          <w:szCs w:val="24"/>
        </w:rPr>
        <w:t xml:space="preserve">career growth and development </w:t>
      </w:r>
      <w:r>
        <w:rPr>
          <w:sz w:val="24"/>
          <w:szCs w:val="24"/>
        </w:rPr>
        <w:t>which includes</w:t>
      </w:r>
      <w:r>
        <w:rPr>
          <w:b/>
          <w:sz w:val="24"/>
          <w:szCs w:val="24"/>
        </w:rPr>
        <w:t xml:space="preserve"> </w:t>
      </w:r>
      <w:r>
        <w:rPr>
          <w:sz w:val="24"/>
          <w:szCs w:val="24"/>
        </w:rPr>
        <w:t xml:space="preserve">access to training programs or workshops, </w:t>
      </w:r>
      <w:r>
        <w:rPr>
          <w:bCs/>
          <w:sz w:val="24"/>
          <w:szCs w:val="24"/>
        </w:rPr>
        <w:t>me</w:t>
      </w:r>
      <w:r>
        <w:rPr>
          <w:sz w:val="24"/>
          <w:szCs w:val="24"/>
        </w:rPr>
        <w:t xml:space="preserve">ntorship and coaching opportunities, tuition reimbursement or sponsorship for further education;(iii) </w:t>
      </w:r>
      <w:r>
        <w:rPr>
          <w:rStyle w:val="15"/>
          <w:rFonts w:eastAsia="SimSun"/>
          <w:sz w:val="24"/>
          <w:szCs w:val="24"/>
        </w:rPr>
        <w:t>recognition and rewards</w:t>
      </w:r>
      <w:r>
        <w:rPr>
          <w:b/>
          <w:sz w:val="24"/>
          <w:szCs w:val="24"/>
        </w:rPr>
        <w:t xml:space="preserve"> </w:t>
      </w:r>
      <w:r>
        <w:rPr>
          <w:sz w:val="24"/>
          <w:szCs w:val="24"/>
        </w:rPr>
        <w:t>which includes</w:t>
      </w:r>
      <w:r>
        <w:rPr>
          <w:b/>
          <w:sz w:val="24"/>
          <w:szCs w:val="24"/>
        </w:rPr>
        <w:t xml:space="preserve">  </w:t>
      </w:r>
      <w:r>
        <w:rPr>
          <w:sz w:val="24"/>
          <w:szCs w:val="24"/>
        </w:rPr>
        <w:t xml:space="preserve">teacher -of-the-month awards or public acknowledgments, appreciation events or team celebrations, personal thank-you notes or certificates;(iv) </w:t>
      </w:r>
      <w:r>
        <w:rPr>
          <w:rStyle w:val="15"/>
          <w:rFonts w:eastAsia="SimSun"/>
          <w:sz w:val="24"/>
          <w:szCs w:val="24"/>
        </w:rPr>
        <w:t>health and wellness</w:t>
      </w:r>
      <w:r>
        <w:rPr>
          <w:sz w:val="24"/>
          <w:szCs w:val="24"/>
        </w:rPr>
        <w:t xml:space="preserve"> wich includes </w:t>
      </w:r>
      <w:r>
        <w:rPr>
          <w:b/>
          <w:sz w:val="24"/>
          <w:szCs w:val="24"/>
        </w:rPr>
        <w:t>a</w:t>
      </w:r>
      <w:r>
        <w:rPr>
          <w:sz w:val="24"/>
          <w:szCs w:val="24"/>
        </w:rPr>
        <w:t>ccess to fitness facilities or gym memberships, wellness programmes and  mental health support,</w:t>
      </w:r>
      <w:r>
        <w:rPr>
          <w:b/>
          <w:sz w:val="24"/>
          <w:szCs w:val="24"/>
        </w:rPr>
        <w:t xml:space="preserve"> h</w:t>
      </w:r>
      <w:r>
        <w:rPr>
          <w:sz w:val="24"/>
          <w:szCs w:val="24"/>
        </w:rPr>
        <w:t>ealth and safety initiatives (v)</w:t>
      </w:r>
      <w:r>
        <w:rPr>
          <w:b/>
          <w:sz w:val="24"/>
          <w:szCs w:val="24"/>
        </w:rPr>
        <w:t xml:space="preserve"> </w:t>
      </w:r>
      <w:r>
        <w:rPr>
          <w:rStyle w:val="15"/>
          <w:rFonts w:eastAsia="SimSun"/>
          <w:sz w:val="24"/>
          <w:szCs w:val="24"/>
        </w:rPr>
        <w:t>office environment</w:t>
      </w:r>
      <w:r>
        <w:rPr>
          <w:b/>
          <w:sz w:val="24"/>
          <w:szCs w:val="24"/>
        </w:rPr>
        <w:t xml:space="preserve"> </w:t>
      </w:r>
      <w:r>
        <w:rPr>
          <w:sz w:val="24"/>
          <w:szCs w:val="24"/>
        </w:rPr>
        <w:t>which includes</w:t>
      </w:r>
      <w:r>
        <w:rPr>
          <w:b/>
          <w:sz w:val="24"/>
          <w:szCs w:val="24"/>
        </w:rPr>
        <w:t xml:space="preserve"> c</w:t>
      </w:r>
      <w:r>
        <w:rPr>
          <w:sz w:val="24"/>
          <w:szCs w:val="24"/>
        </w:rPr>
        <w:t>omfortable and creative workspace designs,</w:t>
      </w:r>
      <w:r>
        <w:rPr>
          <w:b/>
          <w:sz w:val="24"/>
          <w:szCs w:val="24"/>
        </w:rPr>
        <w:t xml:space="preserve"> f</w:t>
      </w:r>
      <w:r>
        <w:rPr>
          <w:sz w:val="24"/>
          <w:szCs w:val="24"/>
        </w:rPr>
        <w:t>ree snacks, meals, or coffee (vi)</w:t>
      </w:r>
      <w:r>
        <w:rPr>
          <w:b/>
          <w:sz w:val="24"/>
          <w:szCs w:val="24"/>
        </w:rPr>
        <w:t xml:space="preserve"> </w:t>
      </w:r>
      <w:r>
        <w:rPr>
          <w:sz w:val="24"/>
          <w:szCs w:val="24"/>
        </w:rPr>
        <w:t>recreational activities like game rooms; and other perks</w:t>
      </w:r>
      <w:r>
        <w:rPr>
          <w:b/>
          <w:sz w:val="24"/>
          <w:szCs w:val="24"/>
        </w:rPr>
        <w:t xml:space="preserve"> </w:t>
      </w:r>
      <w:r>
        <w:rPr>
          <w:sz w:val="24"/>
          <w:szCs w:val="24"/>
        </w:rPr>
        <w:t xml:space="preserve">including opportunities for travel or attending international  conferences, government -sponsored team-building events, corporate discounts or memberships. These benefits can contribute significantly to job satisfaction, employee loyalty, and overall happiness at work and ultimately, positive work attitude. </w:t>
      </w:r>
      <w:r>
        <w:rPr>
          <w:color w:val="000000"/>
          <w:sz w:val="24"/>
          <w:szCs w:val="24"/>
        </w:rPr>
        <w:t xml:space="preserve"> </w:t>
      </w:r>
    </w:p>
    <w:p w:rsidR="00F86DC7" w:rsidRDefault="00F86DC7" w:rsidP="00F86DC7">
      <w:pPr>
        <w:ind w:firstLine="720"/>
        <w:jc w:val="both"/>
        <w:rPr>
          <w:color w:val="000000"/>
          <w:sz w:val="24"/>
          <w:szCs w:val="24"/>
        </w:rPr>
      </w:pPr>
      <w:r>
        <w:rPr>
          <w:color w:val="000000"/>
          <w:sz w:val="24"/>
          <w:szCs w:val="24"/>
        </w:rPr>
        <w:t xml:space="preserve">Using non-monetary rewards to encourage a positive attitude to work is a great idea but doing it fairly and effectively can be challenging. A teacher’s attitude to work may be positive or negative depending on the way they perceive the reward attached to their jobs. In other words, the reward system available to teachers goes a long way to determine how teachers perform their jobs. According to Ben (2023), a policy that offers incentives in exchange for achievement can motivate teachers to prove their worth. When a teacher’s productivity goes up, the bottom line often increases more than the monetary reward distributed. Positive attitude to work can be encouraged through rewards, especially when they are tailored to the teacher’s needs. For instance, a teacher who regularly writes notes of lessons, prepares assessment records, marks his/her class register correctly, and teaches with good students’ performance after test and examination who is adequately rewarded will continue to maintain that good performance for more rewards. It is against this background that the study was conceived, to ascertain the influence of non-monetary reward system on agricultural science teachers’ work attitude in junior secondary schools in Ogoja Local Government Area, Cross River State, Nigeria.  </w:t>
      </w:r>
    </w:p>
    <w:p w:rsidR="00F86DC7" w:rsidRDefault="00F86DC7" w:rsidP="00F86DC7">
      <w:pPr>
        <w:ind w:firstLine="720"/>
        <w:jc w:val="both"/>
        <w:rPr>
          <w:sz w:val="24"/>
          <w:szCs w:val="24"/>
        </w:rPr>
      </w:pPr>
      <w:r>
        <w:rPr>
          <w:sz w:val="24"/>
          <w:szCs w:val="24"/>
        </w:rPr>
        <w:t xml:space="preserve">A "non-monetary benefit" as enunciated by </w:t>
      </w:r>
      <w:r>
        <w:rPr>
          <w:color w:val="000000"/>
          <w:sz w:val="24"/>
          <w:szCs w:val="24"/>
        </w:rPr>
        <w:t>Sansawai,</w:t>
      </w:r>
      <w:r>
        <w:rPr>
          <w:sz w:val="24"/>
          <w:szCs w:val="24"/>
        </w:rPr>
        <w:t xml:space="preserve"> (2023) refers to any advantage or reward given to an employee that is not directly financial. They include, recognition for good work, opportunities for professional development, flexible work arrangements, a positive work environment, and increased autonomy. Unlike financial benefits like salary or bonuses, non-monetary benefits are not directly paid out in money.  It focuses on employee well-being. The benefits often aim to improve an employee's overall work experience and sense of fulfillment. </w:t>
      </w:r>
    </w:p>
    <w:p w:rsidR="00F86DC7" w:rsidRDefault="00F86DC7" w:rsidP="00F86DC7">
      <w:pPr>
        <w:pStyle w:val="NormalWeb"/>
        <w:spacing w:before="0" w:beforeAutospacing="0" w:after="0" w:afterAutospacing="0"/>
        <w:ind w:firstLine="480"/>
        <w:jc w:val="both"/>
      </w:pPr>
      <w:r>
        <w:t xml:space="preserve">Non-financial benefits have significant long-term impacts on teacher retention, particularly in fostering a supportive and motivating work environment. </w:t>
      </w:r>
      <w:r>
        <w:rPr>
          <w:color w:val="000000"/>
        </w:rPr>
        <w:t>Herzberg et al, (2019)</w:t>
      </w:r>
      <w:r>
        <w:t xml:space="preserve"> enunciated the following key insights in this regard:  </w:t>
      </w:r>
    </w:p>
    <w:p w:rsidR="00F86DC7" w:rsidRDefault="00F86DC7" w:rsidP="00F86DC7">
      <w:pPr>
        <w:pStyle w:val="NormalWeb"/>
        <w:numPr>
          <w:ilvl w:val="0"/>
          <w:numId w:val="1"/>
        </w:numPr>
        <w:spacing w:before="0" w:beforeAutospacing="0" w:after="0" w:afterAutospacing="0"/>
        <w:jc w:val="both"/>
      </w:pPr>
      <w:r>
        <w:rPr>
          <w:rStyle w:val="15"/>
          <w:rFonts w:eastAsia="SimSun"/>
        </w:rPr>
        <w:t>Improved job satisfaction</w:t>
      </w:r>
      <w:r>
        <w:rPr>
          <w:b/>
        </w:rPr>
        <w:t xml:space="preserve">: </w:t>
      </w:r>
      <w:r>
        <w:t>Teachers who receive non-financial benefits, such as professional development opportunities, recognition, and a positive work culture, tend to experience higher job satisfaction. This satisfaction often translates into a stronger commitment to their roles and institutions.</w:t>
      </w:r>
    </w:p>
    <w:p w:rsidR="00F86DC7" w:rsidRDefault="00F86DC7" w:rsidP="00F86DC7">
      <w:pPr>
        <w:pStyle w:val="NormalWeb"/>
        <w:numPr>
          <w:ilvl w:val="0"/>
          <w:numId w:val="1"/>
        </w:numPr>
        <w:spacing w:before="0" w:beforeAutospacing="0" w:after="0" w:afterAutospacing="0"/>
        <w:jc w:val="both"/>
      </w:pPr>
      <w:r>
        <w:rPr>
          <w:rStyle w:val="15"/>
          <w:rFonts w:eastAsia="SimSun"/>
        </w:rPr>
        <w:t>Reduced turnover rates</w:t>
      </w:r>
      <w:r>
        <w:t>: Studies show that non-financial incentives, like mentorship programs and collaborative work environments, help reduce teacher attrition. Teachers are more likely to stay in schools where they feel valued and supported.</w:t>
      </w:r>
    </w:p>
    <w:p w:rsidR="00F86DC7" w:rsidRDefault="00F86DC7" w:rsidP="00F86DC7">
      <w:pPr>
        <w:pStyle w:val="NormalWeb"/>
        <w:numPr>
          <w:ilvl w:val="0"/>
          <w:numId w:val="1"/>
        </w:numPr>
        <w:spacing w:before="0" w:beforeAutospacing="0" w:after="0" w:afterAutospacing="0"/>
        <w:jc w:val="both"/>
      </w:pPr>
      <w:r>
        <w:rPr>
          <w:rStyle w:val="15"/>
          <w:rFonts w:eastAsia="SimSun"/>
        </w:rPr>
        <w:t>Enhanced professional growth</w:t>
      </w:r>
      <w:r>
        <w:t>: Access to training and career development opportunities not only improves teachers' skills but also increases their loyalty to the institution. Teachers are more inclined to remain in environments that invest in their growth.</w:t>
      </w:r>
    </w:p>
    <w:p w:rsidR="00F86DC7" w:rsidRDefault="00F86DC7" w:rsidP="00F86DC7">
      <w:pPr>
        <w:pStyle w:val="NormalWeb"/>
        <w:numPr>
          <w:ilvl w:val="0"/>
          <w:numId w:val="1"/>
        </w:numPr>
        <w:spacing w:before="0" w:beforeAutospacing="0" w:after="0" w:afterAutospacing="0"/>
        <w:jc w:val="both"/>
      </w:pPr>
      <w:r>
        <w:rPr>
          <w:rStyle w:val="15"/>
          <w:rFonts w:eastAsia="SimSun"/>
        </w:rPr>
        <w:t>Stronger community ties</w:t>
      </w:r>
      <w:r>
        <w:t>: Non-financial benefits, such as housing support or community engagement programs, can help teachers build stronger connections with the local community, making them less likely to seek transfers.</w:t>
      </w:r>
    </w:p>
    <w:p w:rsidR="00F86DC7" w:rsidRDefault="00F86DC7" w:rsidP="00F86DC7">
      <w:pPr>
        <w:pStyle w:val="NormalWeb"/>
        <w:numPr>
          <w:ilvl w:val="0"/>
          <w:numId w:val="1"/>
        </w:numPr>
        <w:spacing w:before="0" w:beforeAutospacing="0" w:after="0" w:afterAutospacing="0"/>
        <w:jc w:val="both"/>
      </w:pPr>
      <w:r>
        <w:rPr>
          <w:rStyle w:val="15"/>
          <w:rFonts w:eastAsia="SimSun"/>
        </w:rPr>
        <w:t>Positive impact on student outcomes</w:t>
      </w:r>
      <w:r>
        <w:t>: Retaining experienced teachers through non-financial benefits ensures continuity in teaching, which positively affects student learning and overall school performance.</w:t>
      </w:r>
    </w:p>
    <w:p w:rsidR="00F86DC7" w:rsidRDefault="00F86DC7" w:rsidP="00F86DC7">
      <w:pPr>
        <w:ind w:firstLine="720"/>
        <w:jc w:val="both"/>
        <w:rPr>
          <w:sz w:val="24"/>
          <w:szCs w:val="24"/>
        </w:rPr>
      </w:pPr>
      <w:r>
        <w:rPr>
          <w:sz w:val="24"/>
          <w:szCs w:val="24"/>
        </w:rPr>
        <w:t xml:space="preserve">Studies indicate that non-monetary rewards like feedback, learning programmes, and good supervisory relationships can foster a positive work attitude. Employees who feel valued and supported are more likely to be engaged and committed to their roles. Non-financial incentives, such as work-life balance and career development plans, have been linked to improved employee performance. These benefits create a motivating environment that encourages employees to excel. Non-financial rewards play a crucial role in retaining employees and boosting their motivation. While financial rewards are important, non-financial incentives often address deeper psychological needs, leading to long-term satisfaction. </w:t>
      </w:r>
    </w:p>
    <w:p w:rsidR="00F86DC7" w:rsidRDefault="00F86DC7" w:rsidP="00F86DC7">
      <w:pPr>
        <w:ind w:firstLine="720"/>
        <w:jc w:val="both"/>
        <w:rPr>
          <w:sz w:val="24"/>
          <w:szCs w:val="24"/>
        </w:rPr>
      </w:pPr>
      <w:r>
        <w:rPr>
          <w:sz w:val="24"/>
          <w:szCs w:val="24"/>
        </w:rPr>
        <w:t xml:space="preserve">Studies in other countries have also emphasized the role of non-monetary incentives, such as professional development and supportive work environments, in improving employee satisfaction and retention. A study titled, the impact of non-financial reward strategies on teachers’ performance: A Study of Secondary Schools in Nyamira County, Kenya was conducted by </w:t>
      </w:r>
      <w:r>
        <w:rPr>
          <w:color w:val="000000"/>
          <w:sz w:val="24"/>
          <w:szCs w:val="24"/>
        </w:rPr>
        <w:t>Oduwaiye</w:t>
      </w:r>
      <w:r>
        <w:rPr>
          <w:sz w:val="24"/>
          <w:szCs w:val="24"/>
        </w:rPr>
        <w:t xml:space="preserve"> (2014). The study was predicated on the fact that the teaching profession has in the recent past suffered from exodus of teachers moving from both public and private schools to other fields of employment. Mass exodus of trained teachers to other fields, lack of commitment to work itself as a teacher and decimal performance in national examinations and co-curricular activities, all indicate lack of satisfaction by teachers as employees. The study employed a descriptive survey research design with quantitative methods. The study findings revealed that non-monetary reward strategies for performance in secondary schools emanate from motivation acquired through recognition, job enrichment, communication and structured promotions adopted to achieve the set objectives. The study confirmed that recognition strategy was the most influential as it was ranked first with a strength of 4.44 on a 5-point Likert. A coefficient of determination, r = 0.5 indicated a positive relationship between non-financial reward strategies adopted in secondary schools and performance in national examinations. The researcher recommended that schools should embrace the use of non-monetary rewards to achieve a higher level of performance in national examinations since these strategies are less costly, affordable and at the disposure of all school-managers.</w:t>
      </w:r>
    </w:p>
    <w:p w:rsidR="00F86DC7" w:rsidRDefault="00F86DC7" w:rsidP="00F86DC7">
      <w:pPr>
        <w:pStyle w:val="NormalWeb"/>
        <w:spacing w:before="0" w:beforeAutospacing="0" w:after="0" w:afterAutospacing="0"/>
        <w:ind w:firstLine="720"/>
        <w:jc w:val="both"/>
      </w:pPr>
      <w:r>
        <w:t xml:space="preserve">A related study on impact of non-financial incentives on employee performance was conducted by </w:t>
      </w:r>
      <w:r>
        <w:rPr>
          <w:color w:val="000000"/>
        </w:rPr>
        <w:t xml:space="preserve">Patchen et al (2021). </w:t>
      </w:r>
      <w:r>
        <w:t xml:space="preserve">The study focused on need of non-financial incentives for the employees. It includes factors affecting the non-financial incentives, planning the non-financial incentive for the employees, role of manager managing all the non-moetarysystem and also explains challenges, measures for the employees. The study involves the employees who are receiving non-financial incentives. The findings revealed that there is a positive association between non-financial incentive aspects and employee performance.  From the study it is found that the employees will get motivated through non-financial incentives and this improves their performance and their work attitude. The non-financial incentives attract the employees to retain for long duration and have positive impact on the productivity. The researcher in his recommendation advice that the managers should formulate more attractive schemes of non- financial incentive to motivate the employees to perform affectively. Also, the employers should adopt non-financial incentives in mix of monetary one-time benefit to meet employee’s personal obligation. </w:t>
      </w:r>
    </w:p>
    <w:p w:rsidR="00F86DC7" w:rsidRDefault="00F86DC7" w:rsidP="00F86DC7">
      <w:pPr>
        <w:pStyle w:val="NormalWeb"/>
        <w:spacing w:before="0" w:beforeAutospacing="0" w:after="0" w:afterAutospacing="0"/>
        <w:ind w:firstLine="720"/>
        <w:jc w:val="both"/>
      </w:pPr>
      <w:r>
        <w:t xml:space="preserve">Another study on impact of non-financial rewards on employee‘s attitude and performance in the workplace was undertaken by Burr (2021). The purpose of the study was to find out the impact of non-financial rewards on employee attitude and to get information about the factors which affect their performance at workplace’. A survey was conducted from the different designation of employees in University of Karachi. The result showed that feedback to employees, freedom, career development plan, and valuation of employees, learning programmess, open and comfortable work environment and good supervisory relations positively impact employee attitude and performance in the workplace. The author suggested that focusing on the factors that positively impacts employee attitude and performance would enhance the performance of employee and create a positive work environment which will also help enhance productivity. The author also maintained that heir classroom performance will also be enhanced and students learning would also move upward. Employees feel committed when they receive intrinsic rewards, which also increases job satisfaction and motivate employees. </w:t>
      </w:r>
    </w:p>
    <w:p w:rsidR="00F86DC7" w:rsidRDefault="00F86DC7" w:rsidP="00F86DC7">
      <w:pPr>
        <w:pStyle w:val="NormalWeb"/>
        <w:spacing w:before="0" w:beforeAutospacing="0" w:after="0" w:afterAutospacing="0"/>
        <w:ind w:firstLine="720"/>
        <w:jc w:val="both"/>
      </w:pPr>
      <w:r>
        <w:t xml:space="preserve">According to </w:t>
      </w:r>
      <w:r>
        <w:rPr>
          <w:color w:val="000000"/>
        </w:rPr>
        <w:t>Patchen et al (2021) s</w:t>
      </w:r>
      <w:r>
        <w:t xml:space="preserve">atisfied employees are less likely to quit their jobs. Salary and other financial remunerations cannot fully satisfy one’s being. Everyone has their own psychological needs to fulfill and this is a good target for employee rewards. Aside from bonuses and other materialistic prize, employees will also be happy to receive any of the top non-monetary rewards. Rewards, the author pointed out, do not necessarily have to be expensive to show sincere appreciation. Hardworking people are sometimes satisfied with just the thought that someone recognizes their efforts. Non-monetary employee rewards can be in any form as long as the sincerity is present. If employees are not performing as well as the employer would like, it’s very likely because they are not very satisfied with their jobs and committed to the organization. Their lack of satisfaction and commitment is most likely a result of a crappy human relation practice or system of practices. The authors opine that instead of blaming the employees, the system should rather be fixed for positive attitudinal change, behaviors and performance in the workplace to be ensured. The author maintained that younger workers do have a sense of entitlement, meaning they strongly value extrinsic rewards (e.g. pay, promotion) but are less willing to put in long hours to work for those rewards. They seem to value leisure and time away from work. Generally, however, intrinsic rewards remain highly valued. </w:t>
      </w:r>
    </w:p>
    <w:p w:rsidR="00F86DC7" w:rsidRDefault="00F86DC7" w:rsidP="00F86DC7">
      <w:pPr>
        <w:pStyle w:val="NormalWeb"/>
        <w:spacing w:before="0" w:beforeAutospacing="0" w:after="0" w:afterAutospacing="0"/>
        <w:ind w:firstLine="720"/>
        <w:jc w:val="both"/>
      </w:pPr>
      <w:r>
        <w:t xml:space="preserve">A related study by </w:t>
      </w:r>
      <w:r>
        <w:rPr>
          <w:bCs/>
          <w:color w:val="000000"/>
        </w:rPr>
        <w:t>Ukoha (2022) w</w:t>
      </w:r>
      <w:r>
        <w:t>as on the effect of non-financial incentives on teachers’ performance in private Agha Khan Schools in Chitral, Pakistan. The study was based on the fact that non-financial incentives have a great role on employee’s job performance. These incentives may lead to enhance and encourage the employee’s motivational level high to provide quality of services in the organizations. The main purpose of this study was to explore the effect of non-financial incentive on teacher’s performance. Extrinsic incentives such as (accommodation, free meal, transport, monthly leaves, medical treatment and free tickets) and intrinsic incentives (recognition, praise, achievement, job satisfaction, career development and teaching enjoyment) and absence of any one of them lower the performance of the teachers in the schools. Descriptive research design is used in the study and quantitative approach is adopted which statistically indicates the influence of these incentives on teacher’s performance. The result of this study shows that the teachers of Agha Khan Schools think that the utilization of extrinsic incentives is inadequate instead of intrinsic incentives. Based on the findings, it was recommended that the extrinsic incentives have equal influence for the teachers so that it is essential to provide both incentives in proper way to the teachers in their schools. The author based the study on intrinsic motivation factors. Intrinsic according to the author is derived from the word "internal" which describes that anything coming from inside. Intrinsic motivation is that feeling or inspiration which is achieved by a person inside or from the activity itself, that positively affect the behavior of individual work in the organization and the performance as well, and the happiness of employees. All these forms of motivation are produced when an individual is self-motivated primarily. All these internally motivational key that an individual struggle to achieve is autonomy (e.g. freedom to a person what to do and how to do a task) competence (e.g. doing things with full ability by himself or herself) and relatedness (e.g. performing task in good relation with boss. The authors also describe intrinsic motivation as giving recognition to an employee for his or her best contribution, humble meeting with employee and respect for everyone, selecting for the position where individual can face challenging. , assigning task that a person can easily accomplish and get internal pleasantness helping the employees to solve the difficult assignment, give relaxation in working hour, flexibility to accomplish the task at home</w:t>
      </w:r>
    </w:p>
    <w:p w:rsidR="00F86DC7" w:rsidRDefault="00F86DC7" w:rsidP="00F86DC7">
      <w:pPr>
        <w:ind w:firstLine="720"/>
        <w:jc w:val="both"/>
        <w:rPr>
          <w:sz w:val="24"/>
          <w:szCs w:val="24"/>
        </w:rPr>
      </w:pPr>
      <w:r>
        <w:rPr>
          <w:sz w:val="24"/>
          <w:szCs w:val="24"/>
        </w:rPr>
        <w:t xml:space="preserve">The influence of non-financial incentives on teacher performance in rural primary schools in Tanzania: A case of Kisarawe District by Isanzu is another related study in this regard. The study involved a sample of 72 respondents selected using purposive and random sampling techniques. Data collection instruments were interview, questionnaire and documentary review. Qualitative and quantitative data analysis methods were used. Data presentation was done in a narrative form with direct quotations from the voices of the respondents. The findings revealed that medical services, presentable houses, transport, electricity, sufficient teaching and learning materials, availability of clean safe water, recreation and market places were mentioned to be the main motivators for teachers. However, the provisions were not adequate and some of them were not available. This was due to lack of a clear incentive policy on teachers both at District and National levels. The study revealed that there was a positive relationship between the provision of non-financial incentives and teacher’s work attitude. Based on the findings, it was recommended that the Government and the Council should formulate a clear policy on teacher motivation including; provision of cooking utensils, beds and mattresses for newly appointed teachers, frequent visits and meetings with fellow teachers to discuss challenges they face. There was also a need to allocate adequate financial resources at Council and community levels in order to increase teachers’ access to soft loans. </w:t>
      </w:r>
    </w:p>
    <w:p w:rsidR="00F86DC7" w:rsidRDefault="00F86DC7" w:rsidP="00F86DC7">
      <w:pPr>
        <w:ind w:firstLine="720"/>
        <w:jc w:val="both"/>
        <w:rPr>
          <w:sz w:val="24"/>
          <w:szCs w:val="24"/>
        </w:rPr>
      </w:pPr>
      <w:r>
        <w:rPr>
          <w:color w:val="111111"/>
          <w:sz w:val="24"/>
          <w:szCs w:val="24"/>
          <w:shd w:val="clear" w:color="auto" w:fill="FFFFFF"/>
        </w:rPr>
        <w:t xml:space="preserve">The teaching profession has in the recent past suffered from exodus of teachers moving from both public and private schools to other fields of employment. Mass exodus of trained teachers to other fields, lack of commitment to work itself as a teacher and decimal performance in national examinations and co-curricular activities, all indicate lack of satisfaction by teachers as employees. </w:t>
      </w:r>
      <w:r>
        <w:rPr>
          <w:color w:val="000000"/>
          <w:sz w:val="24"/>
          <w:szCs w:val="24"/>
        </w:rPr>
        <w:t>Ewbank</w:t>
      </w:r>
      <w:r>
        <w:rPr>
          <w:color w:val="111111"/>
          <w:sz w:val="24"/>
          <w:szCs w:val="24"/>
          <w:shd w:val="clear" w:color="auto" w:fill="FFFFFF"/>
        </w:rPr>
        <w:t xml:space="preserve"> (2022) conducted a study which explored non-financial reward strategies employed to enhance higher levels of academic achievement, lower labour turnover and enhance teacher‘s commitment to their basic roles. The purpose of the study was to assess the impact of non-financial reward strategies on teachers` performance at secondary schools. The objectives of the study were: to determine the effects of recognition on teachers’ performance; establish the effects of promotion on motivation of teachers’ performance; establish the effects of effective communication on teachers’ performance, and establish the effects of job enrichment on teachers’ performance. The study employed a descriptive survey research design with quantitative methods. Primary data was collected using a questionnaire. The targeted population comprised of 1600 teachers from 186 public secondary schools in Nyamira County. Simple random sampling technique was used where 94 respondents formed the sample size. Descriptive and inferential statistics were used to analyze the data.  The study findings revealed that non-financial reward strategies for performance in secondary schools emanate from motivation acquired through recognition, job enrichment, communication and structured promotions adopted to achieve the set objectives. The study confirmed that recognition strategy was the most influential as it was ranked first, followed by communication strategy then job enrichment strategy and promotion strategy was last. The findings indicated a positive relationship between non-monetary reward strategies adopted in secondary schools and teachers’ work attitude. The researcher recommended that schools should embrace the use of non-financial rewards to achieve a higher level of performance among teachers since these reward strategies are less costly, affordable and at the disposure of all school-managers.</w:t>
      </w:r>
    </w:p>
    <w:p w:rsidR="00F86DC7" w:rsidRDefault="00F86DC7" w:rsidP="00F86DC7">
      <w:pPr>
        <w:ind w:firstLine="720"/>
        <w:jc w:val="both"/>
        <w:rPr>
          <w:color w:val="000000"/>
          <w:sz w:val="24"/>
          <w:szCs w:val="24"/>
        </w:rPr>
      </w:pPr>
    </w:p>
    <w:p w:rsidR="00F86DC7" w:rsidRDefault="00F86DC7" w:rsidP="00F86DC7">
      <w:pPr>
        <w:jc w:val="both"/>
        <w:rPr>
          <w:b/>
          <w:bCs/>
          <w:color w:val="000000"/>
          <w:sz w:val="24"/>
          <w:szCs w:val="24"/>
        </w:rPr>
      </w:pPr>
      <w:r>
        <w:rPr>
          <w:b/>
          <w:bCs/>
          <w:color w:val="000000"/>
          <w:sz w:val="24"/>
          <w:szCs w:val="24"/>
        </w:rPr>
        <w:t>Problem of the study</w:t>
      </w:r>
    </w:p>
    <w:p w:rsidR="00F86DC7" w:rsidRDefault="00F86DC7" w:rsidP="00F86DC7">
      <w:pPr>
        <w:ind w:firstLine="720"/>
        <w:jc w:val="both"/>
        <w:rPr>
          <w:color w:val="000000"/>
          <w:sz w:val="24"/>
          <w:szCs w:val="24"/>
        </w:rPr>
      </w:pPr>
      <w:r>
        <w:rPr>
          <w:color w:val="000000"/>
          <w:sz w:val="24"/>
          <w:szCs w:val="24"/>
        </w:rPr>
        <w:t xml:space="preserve">A visit to secondary schools in Ogoja Local Government Area  of  Cross River State, will reveal  signs of frustration, low morale, loss of interest and the likes  written all over teachers’ faces culminating to  negative attitude to work. This is so because probably although they have ability and prerequisite training, their non-monetary reward system at present cannot encourage and sustain their ability and training which would have brought about positive attitude towards their job. </w:t>
      </w:r>
    </w:p>
    <w:p w:rsidR="00F86DC7" w:rsidRDefault="00F86DC7" w:rsidP="00F86DC7">
      <w:pPr>
        <w:jc w:val="both"/>
        <w:rPr>
          <w:b/>
          <w:bCs/>
          <w:color w:val="000000"/>
          <w:sz w:val="24"/>
          <w:szCs w:val="24"/>
        </w:rPr>
      </w:pPr>
    </w:p>
    <w:p w:rsidR="00F86DC7" w:rsidRDefault="00F86DC7" w:rsidP="00F86DC7">
      <w:pPr>
        <w:jc w:val="both"/>
        <w:rPr>
          <w:b/>
          <w:bCs/>
          <w:color w:val="000000"/>
          <w:sz w:val="24"/>
          <w:szCs w:val="24"/>
        </w:rPr>
      </w:pPr>
    </w:p>
    <w:p w:rsidR="00F86DC7" w:rsidRPr="00A84140" w:rsidRDefault="00F86DC7" w:rsidP="00F86DC7">
      <w:pPr>
        <w:jc w:val="both"/>
        <w:rPr>
          <w:b/>
          <w:bCs/>
          <w:color w:val="000000"/>
          <w:sz w:val="24"/>
          <w:szCs w:val="24"/>
        </w:rPr>
      </w:pPr>
      <w:r>
        <w:rPr>
          <w:b/>
          <w:bCs/>
          <w:color w:val="000000"/>
          <w:sz w:val="24"/>
          <w:szCs w:val="24"/>
        </w:rPr>
        <w:t>Objective of the study</w:t>
      </w:r>
    </w:p>
    <w:p w:rsidR="00F86DC7" w:rsidRDefault="00F86DC7" w:rsidP="00F86DC7">
      <w:pPr>
        <w:ind w:firstLine="360"/>
        <w:jc w:val="both"/>
        <w:rPr>
          <w:b/>
          <w:bCs/>
          <w:color w:val="000000"/>
          <w:sz w:val="24"/>
          <w:szCs w:val="24"/>
        </w:rPr>
      </w:pPr>
      <w:r>
        <w:rPr>
          <w:color w:val="000000"/>
          <w:sz w:val="24"/>
          <w:szCs w:val="24"/>
        </w:rPr>
        <w:t>The study was undertaken to ascertain the influence of non-monetary benefits on agricultural science teachers’ work attitude in junior secondary schools in Ogoja Local Government Area, Cross River State, Nigeria</w:t>
      </w:r>
    </w:p>
    <w:p w:rsidR="00F86DC7" w:rsidRDefault="00F86DC7" w:rsidP="00F86DC7">
      <w:pPr>
        <w:jc w:val="both"/>
        <w:rPr>
          <w:b/>
          <w:bCs/>
          <w:color w:val="000000"/>
          <w:sz w:val="24"/>
          <w:szCs w:val="24"/>
        </w:rPr>
      </w:pPr>
    </w:p>
    <w:p w:rsidR="00F86DC7" w:rsidRPr="00A84140" w:rsidRDefault="00F86DC7" w:rsidP="00F86DC7">
      <w:pPr>
        <w:jc w:val="both"/>
        <w:rPr>
          <w:b/>
          <w:bCs/>
          <w:color w:val="000000"/>
          <w:sz w:val="24"/>
          <w:szCs w:val="24"/>
        </w:rPr>
      </w:pPr>
      <w:r w:rsidRPr="00A84140">
        <w:rPr>
          <w:b/>
          <w:bCs/>
          <w:color w:val="000000"/>
          <w:sz w:val="24"/>
          <w:szCs w:val="24"/>
        </w:rPr>
        <w:t xml:space="preserve">Research question  </w:t>
      </w:r>
    </w:p>
    <w:p w:rsidR="00F86DC7" w:rsidRDefault="00F86DC7" w:rsidP="00F86DC7">
      <w:pPr>
        <w:jc w:val="both"/>
        <w:rPr>
          <w:color w:val="000000"/>
          <w:sz w:val="24"/>
          <w:szCs w:val="24"/>
        </w:rPr>
      </w:pPr>
      <w:r>
        <w:rPr>
          <w:color w:val="000000"/>
          <w:sz w:val="24"/>
          <w:szCs w:val="24"/>
        </w:rPr>
        <w:tab/>
        <w:t xml:space="preserve"> The study was guided by this research questions:</w:t>
      </w:r>
    </w:p>
    <w:p w:rsidR="00F86DC7" w:rsidRDefault="00F86DC7" w:rsidP="00F86DC7">
      <w:pPr>
        <w:jc w:val="both"/>
        <w:rPr>
          <w:color w:val="000000"/>
          <w:sz w:val="24"/>
          <w:szCs w:val="24"/>
        </w:rPr>
      </w:pPr>
      <w:r>
        <w:rPr>
          <w:color w:val="000000"/>
          <w:sz w:val="24"/>
          <w:szCs w:val="24"/>
        </w:rPr>
        <w:t>To what extent does non -financial benefits influence teachers’ work attitude in junior secondary schools in Ogoja Local Government Area, Cross River State, Nigeria?</w:t>
      </w:r>
    </w:p>
    <w:p w:rsidR="00F86DC7" w:rsidRDefault="00F86DC7" w:rsidP="00F86DC7">
      <w:pPr>
        <w:jc w:val="both"/>
        <w:rPr>
          <w:color w:val="000000"/>
          <w:sz w:val="24"/>
          <w:szCs w:val="24"/>
        </w:rPr>
      </w:pPr>
      <w:r>
        <w:rPr>
          <w:b/>
          <w:bCs/>
          <w:color w:val="000000"/>
          <w:sz w:val="24"/>
          <w:szCs w:val="24"/>
        </w:rPr>
        <w:t xml:space="preserve">Statement of hypotheses </w:t>
      </w:r>
    </w:p>
    <w:p w:rsidR="00F86DC7" w:rsidRDefault="00F86DC7" w:rsidP="00F86DC7">
      <w:pPr>
        <w:jc w:val="both"/>
        <w:rPr>
          <w:color w:val="000000"/>
          <w:sz w:val="24"/>
          <w:szCs w:val="24"/>
        </w:rPr>
      </w:pPr>
      <w:r>
        <w:rPr>
          <w:color w:val="000000"/>
          <w:sz w:val="24"/>
          <w:szCs w:val="24"/>
        </w:rPr>
        <w:tab/>
        <w:t xml:space="preserve"> This research hypotheses was posed to guide the study:</w:t>
      </w:r>
    </w:p>
    <w:p w:rsidR="00F86DC7" w:rsidRDefault="00F86DC7" w:rsidP="00F86DC7">
      <w:pPr>
        <w:jc w:val="both"/>
        <w:rPr>
          <w:color w:val="000000"/>
          <w:sz w:val="24"/>
          <w:szCs w:val="24"/>
        </w:rPr>
      </w:pPr>
      <w:r>
        <w:rPr>
          <w:color w:val="000000"/>
          <w:sz w:val="24"/>
          <w:szCs w:val="24"/>
        </w:rPr>
        <w:t xml:space="preserve">Non -financial benefits does not significantly influence agricultural science teachers’ work attitude in Junior Secondary Schools in Ogoja Local Government Area, Cross River State, Nigeria  </w:t>
      </w:r>
    </w:p>
    <w:p w:rsidR="00F86DC7" w:rsidRDefault="00F86DC7" w:rsidP="00F86DC7">
      <w:pPr>
        <w:jc w:val="both"/>
        <w:rPr>
          <w:b/>
          <w:bCs/>
          <w:color w:val="000000"/>
          <w:sz w:val="24"/>
          <w:szCs w:val="24"/>
        </w:rPr>
      </w:pPr>
    </w:p>
    <w:p w:rsidR="00F86DC7" w:rsidRPr="00A84140" w:rsidRDefault="00F86DC7" w:rsidP="00F86DC7">
      <w:pPr>
        <w:jc w:val="both"/>
        <w:rPr>
          <w:color w:val="000000"/>
          <w:sz w:val="24"/>
          <w:szCs w:val="24"/>
        </w:rPr>
      </w:pPr>
      <w:r w:rsidRPr="00A84140">
        <w:rPr>
          <w:b/>
          <w:bCs/>
          <w:color w:val="000000"/>
          <w:sz w:val="24"/>
          <w:szCs w:val="24"/>
        </w:rPr>
        <w:t>Research Method</w:t>
      </w:r>
      <w:r>
        <w:rPr>
          <w:b/>
          <w:bCs/>
          <w:color w:val="000000"/>
          <w:sz w:val="24"/>
          <w:szCs w:val="24"/>
        </w:rPr>
        <w:t>s</w:t>
      </w:r>
    </w:p>
    <w:p w:rsidR="00F86DC7" w:rsidRDefault="00F86DC7" w:rsidP="00F86DC7">
      <w:pPr>
        <w:pStyle w:val="ListParagraph"/>
        <w:ind w:left="360"/>
        <w:rPr>
          <w:color w:val="000000"/>
          <w:sz w:val="24"/>
          <w:szCs w:val="24"/>
        </w:rPr>
      </w:pPr>
      <w:r>
        <w:rPr>
          <w:b/>
          <w:bCs/>
          <w:color w:val="000000"/>
          <w:sz w:val="24"/>
          <w:szCs w:val="24"/>
        </w:rPr>
        <w:tab/>
      </w:r>
      <w:r>
        <w:rPr>
          <w:color w:val="000000"/>
          <w:sz w:val="24"/>
          <w:szCs w:val="24"/>
        </w:rPr>
        <w:t xml:space="preserve">The Ex-post facto research design was used in the study. The stud was carried out in </w:t>
      </w:r>
      <w:r>
        <w:rPr>
          <w:sz w:val="24"/>
          <w:szCs w:val="24"/>
        </w:rPr>
        <w:t xml:space="preserve">Ogoja Local Government Area located in the Northern Senatorial District of Cross River State, Nigeria. The population of the study was 483 consisting of all JSS III students in lower basic schools located in Ogoja  Local Area, Cross River  State.  The multi-stage sampling technique was employed in the study.  The first stage was the random sampling of Junior Secondary schools located in Ogoja Local Area, to obtain the number of schools involved in the study.  The second stage was the random sampling of the subjects (students in Junior Secondary Schools) to obtain the number of respondents used for the study from each sampled school. Nine (9) out of twelve (12) Junior Secondary Schools located in in the study area were sampled for the study.  A total of one hundred and twenty (120) subjects were sampled for the study with 25% of respondents selected from JSS III class of each school sampled for the study.  </w:t>
      </w:r>
      <w:r>
        <w:rPr>
          <w:color w:val="000000"/>
          <w:sz w:val="24"/>
          <w:szCs w:val="24"/>
        </w:rPr>
        <w:t>The instruments used for data collection were Non-Monetary Reward System Opinion Inventory (NMRSOI) served to teacher respondents and (ii) Teachers Attitude to work Questionnaire (TAQ) served to students to assess their teacher attitude to work. Statistical tool used for data collection was simple linear regression.</w:t>
      </w:r>
    </w:p>
    <w:p w:rsidR="00F86DC7" w:rsidRDefault="00F86DC7" w:rsidP="00F86DC7">
      <w:pPr>
        <w:pStyle w:val="ListParagraph"/>
        <w:ind w:left="360"/>
        <w:rPr>
          <w:color w:val="000000"/>
          <w:sz w:val="24"/>
          <w:szCs w:val="24"/>
        </w:rPr>
      </w:pPr>
      <w:r>
        <w:rPr>
          <w:color w:val="000000"/>
          <w:sz w:val="24"/>
          <w:szCs w:val="24"/>
        </w:rPr>
        <w:t xml:space="preserve"> </w:t>
      </w:r>
    </w:p>
    <w:p w:rsidR="00F86DC7" w:rsidRPr="008E2377" w:rsidRDefault="00F86DC7" w:rsidP="00F86DC7">
      <w:pPr>
        <w:jc w:val="both"/>
        <w:rPr>
          <w:b/>
          <w:bCs/>
          <w:color w:val="000000"/>
          <w:sz w:val="24"/>
          <w:szCs w:val="24"/>
        </w:rPr>
      </w:pPr>
      <w:r w:rsidRPr="008E2377">
        <w:rPr>
          <w:b/>
          <w:bCs/>
          <w:color w:val="000000"/>
          <w:sz w:val="24"/>
          <w:szCs w:val="24"/>
        </w:rPr>
        <w:t>Results</w:t>
      </w:r>
    </w:p>
    <w:p w:rsidR="00F86DC7" w:rsidRPr="008E2377" w:rsidRDefault="00F86DC7" w:rsidP="00F86DC7">
      <w:pPr>
        <w:pStyle w:val="ListParagraph"/>
        <w:ind w:left="360"/>
        <w:jc w:val="center"/>
        <w:rPr>
          <w:sz w:val="24"/>
          <w:szCs w:val="24"/>
        </w:rPr>
      </w:pPr>
    </w:p>
    <w:p w:rsidR="00F86DC7" w:rsidRDefault="00F86DC7" w:rsidP="00F86DC7">
      <w:pPr>
        <w:ind w:firstLine="720"/>
        <w:rPr>
          <w:color w:val="000000"/>
          <w:sz w:val="24"/>
          <w:szCs w:val="24"/>
        </w:rPr>
      </w:pPr>
      <w:r>
        <w:rPr>
          <w:color w:val="000000"/>
          <w:sz w:val="24"/>
          <w:szCs w:val="24"/>
        </w:rPr>
        <w:t>Table 1: Mean and standard deviation of respondents on the research variables</w:t>
      </w:r>
    </w:p>
    <w:tbl>
      <w:tblPr>
        <w:tblW w:w="7700" w:type="dxa"/>
        <w:tblInd w:w="135" w:type="dxa"/>
        <w:tblLook w:val="04A0" w:firstRow="1" w:lastRow="0" w:firstColumn="1" w:lastColumn="0" w:noHBand="0" w:noVBand="1"/>
      </w:tblPr>
      <w:tblGrid>
        <w:gridCol w:w="5125"/>
        <w:gridCol w:w="720"/>
        <w:gridCol w:w="990"/>
        <w:gridCol w:w="865"/>
      </w:tblGrid>
      <w:tr w:rsidR="00F86DC7" w:rsidTr="0081057C">
        <w:trPr>
          <w:trHeight w:val="301"/>
        </w:trPr>
        <w:tc>
          <w:tcPr>
            <w:tcW w:w="5125" w:type="dxa"/>
            <w:tcBorders>
              <w:top w:val="single" w:sz="4" w:space="0" w:color="auto"/>
              <w:left w:val="nil"/>
              <w:bottom w:val="single" w:sz="4" w:space="0" w:color="auto"/>
              <w:right w:val="nil"/>
            </w:tcBorders>
            <w:hideMark/>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Variables</w:t>
            </w:r>
          </w:p>
        </w:tc>
        <w:tc>
          <w:tcPr>
            <w:tcW w:w="720" w:type="dxa"/>
            <w:tcBorders>
              <w:top w:val="single" w:sz="4" w:space="0" w:color="auto"/>
              <w:left w:val="nil"/>
              <w:bottom w:val="single" w:sz="4" w:space="0" w:color="auto"/>
              <w:right w:val="nil"/>
            </w:tcBorders>
            <w:hideMark/>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N</w:t>
            </w:r>
          </w:p>
        </w:tc>
        <w:tc>
          <w:tcPr>
            <w:tcW w:w="990" w:type="dxa"/>
            <w:tcBorders>
              <w:top w:val="single" w:sz="4" w:space="0" w:color="auto"/>
              <w:left w:val="nil"/>
              <w:bottom w:val="single" w:sz="4" w:space="0" w:color="auto"/>
              <w:right w:val="nil"/>
            </w:tcBorders>
            <w:hideMark/>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Mean</w:t>
            </w:r>
          </w:p>
        </w:tc>
        <w:tc>
          <w:tcPr>
            <w:tcW w:w="865" w:type="dxa"/>
            <w:tcBorders>
              <w:top w:val="single" w:sz="4" w:space="0" w:color="auto"/>
              <w:left w:val="nil"/>
              <w:bottom w:val="single" w:sz="4" w:space="0" w:color="auto"/>
              <w:right w:val="nil"/>
            </w:tcBorders>
            <w:hideMark/>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SD</w:t>
            </w:r>
          </w:p>
        </w:tc>
      </w:tr>
      <w:tr w:rsidR="00F86DC7" w:rsidTr="0081057C">
        <w:trPr>
          <w:trHeight w:val="608"/>
        </w:trPr>
        <w:tc>
          <w:tcPr>
            <w:tcW w:w="5125" w:type="dxa"/>
            <w:tcBorders>
              <w:top w:val="single" w:sz="4" w:space="0" w:color="auto"/>
              <w:left w:val="nil"/>
              <w:bottom w:val="nil"/>
              <w:right w:val="nil"/>
            </w:tcBorders>
            <w:hideMark/>
          </w:tcPr>
          <w:p w:rsidR="00F86DC7" w:rsidRPr="008E2377" w:rsidRDefault="00F86DC7" w:rsidP="0081057C">
            <w:pPr>
              <w:pStyle w:val="NoSpacing"/>
              <w:spacing w:before="0" w:beforeAutospacing="0"/>
              <w:rPr>
                <w:rFonts w:ascii="Times New Roman" w:eastAsia="Calibri" w:hAnsi="Times New Roman"/>
                <w:bCs/>
                <w:sz w:val="24"/>
                <w:szCs w:val="24"/>
              </w:rPr>
            </w:pPr>
            <w:r w:rsidRPr="008E2377">
              <w:rPr>
                <w:rFonts w:ascii="Times New Roman" w:eastAsia="Calibri" w:hAnsi="Times New Roman"/>
                <w:bCs/>
                <w:sz w:val="24"/>
                <w:szCs w:val="24"/>
              </w:rPr>
              <w:t>Non-monetary rewards</w:t>
            </w:r>
          </w:p>
        </w:tc>
        <w:tc>
          <w:tcPr>
            <w:tcW w:w="720" w:type="dxa"/>
            <w:tcBorders>
              <w:top w:val="single" w:sz="4" w:space="0" w:color="auto"/>
              <w:left w:val="nil"/>
              <w:bottom w:val="nil"/>
              <w:right w:val="nil"/>
            </w:tcBorders>
          </w:tcPr>
          <w:p w:rsidR="00F86DC7" w:rsidRDefault="00F86DC7" w:rsidP="0081057C">
            <w:pPr>
              <w:pStyle w:val="NoSpacing"/>
              <w:spacing w:before="0" w:beforeAutospacing="0"/>
              <w:rPr>
                <w:rFonts w:ascii="Times New Roman" w:eastAsia="Calibri" w:hAnsi="Times New Roman"/>
                <w:sz w:val="24"/>
                <w:szCs w:val="24"/>
              </w:rPr>
            </w:pPr>
          </w:p>
        </w:tc>
        <w:tc>
          <w:tcPr>
            <w:tcW w:w="990" w:type="dxa"/>
            <w:tcBorders>
              <w:top w:val="single" w:sz="4" w:space="0" w:color="auto"/>
              <w:left w:val="nil"/>
              <w:bottom w:val="nil"/>
              <w:right w:val="nil"/>
            </w:tcBorders>
          </w:tcPr>
          <w:p w:rsidR="00F86DC7" w:rsidRDefault="00F86DC7" w:rsidP="0081057C">
            <w:pPr>
              <w:pStyle w:val="NoSpacing"/>
              <w:spacing w:before="0" w:beforeAutospacing="0"/>
              <w:rPr>
                <w:rFonts w:ascii="Times New Roman" w:eastAsia="Calibri" w:hAnsi="Times New Roman"/>
                <w:sz w:val="24"/>
                <w:szCs w:val="24"/>
              </w:rPr>
            </w:pPr>
          </w:p>
        </w:tc>
        <w:tc>
          <w:tcPr>
            <w:tcW w:w="865" w:type="dxa"/>
            <w:tcBorders>
              <w:top w:val="single" w:sz="4" w:space="0" w:color="auto"/>
              <w:left w:val="nil"/>
              <w:bottom w:val="nil"/>
              <w:right w:val="nil"/>
            </w:tcBorders>
          </w:tcPr>
          <w:p w:rsidR="00F86DC7" w:rsidRDefault="00F86DC7" w:rsidP="0081057C">
            <w:pPr>
              <w:pStyle w:val="NoSpacing"/>
              <w:spacing w:before="0" w:beforeAutospacing="0"/>
              <w:rPr>
                <w:rFonts w:ascii="Times New Roman" w:eastAsia="Calibri" w:hAnsi="Times New Roman"/>
                <w:sz w:val="24"/>
                <w:szCs w:val="24"/>
              </w:rPr>
            </w:pPr>
          </w:p>
        </w:tc>
      </w:tr>
      <w:tr w:rsidR="00F86DC7" w:rsidTr="0081057C">
        <w:trPr>
          <w:trHeight w:val="608"/>
        </w:trPr>
        <w:tc>
          <w:tcPr>
            <w:tcW w:w="5125" w:type="dxa"/>
            <w:tcBorders>
              <w:top w:val="nil"/>
              <w:left w:val="nil"/>
              <w:bottom w:val="nil"/>
              <w:right w:val="nil"/>
            </w:tcBorders>
            <w:hideMark/>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 xml:space="preserve">Participation   in decision-making </w:t>
            </w:r>
          </w:p>
        </w:tc>
        <w:tc>
          <w:tcPr>
            <w:tcW w:w="720" w:type="dxa"/>
            <w:tcBorders>
              <w:top w:val="nil"/>
              <w:left w:val="nil"/>
              <w:bottom w:val="nil"/>
              <w:right w:val="nil"/>
            </w:tcBorders>
            <w:hideMark/>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26</w:t>
            </w:r>
          </w:p>
        </w:tc>
        <w:tc>
          <w:tcPr>
            <w:tcW w:w="990" w:type="dxa"/>
            <w:tcBorders>
              <w:top w:val="nil"/>
              <w:left w:val="nil"/>
              <w:bottom w:val="nil"/>
              <w:right w:val="nil"/>
            </w:tcBorders>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18.10</w:t>
            </w:r>
          </w:p>
          <w:p w:rsidR="00F86DC7" w:rsidRDefault="00F86DC7" w:rsidP="0081057C">
            <w:pPr>
              <w:pStyle w:val="NoSpacing"/>
              <w:spacing w:before="0" w:beforeAutospacing="0"/>
              <w:rPr>
                <w:rFonts w:ascii="Times New Roman" w:eastAsia="Calibri" w:hAnsi="Times New Roman"/>
                <w:sz w:val="24"/>
                <w:szCs w:val="24"/>
              </w:rPr>
            </w:pPr>
          </w:p>
        </w:tc>
        <w:tc>
          <w:tcPr>
            <w:tcW w:w="865" w:type="dxa"/>
            <w:tcBorders>
              <w:top w:val="nil"/>
              <w:left w:val="nil"/>
              <w:bottom w:val="nil"/>
              <w:right w:val="nil"/>
            </w:tcBorders>
            <w:hideMark/>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2.66</w:t>
            </w:r>
          </w:p>
        </w:tc>
      </w:tr>
      <w:tr w:rsidR="00F86DC7" w:rsidTr="0081057C">
        <w:trPr>
          <w:trHeight w:val="608"/>
        </w:trPr>
        <w:tc>
          <w:tcPr>
            <w:tcW w:w="5125" w:type="dxa"/>
            <w:tcBorders>
              <w:top w:val="nil"/>
              <w:left w:val="nil"/>
              <w:bottom w:val="nil"/>
              <w:right w:val="nil"/>
            </w:tcBorders>
            <w:hideMark/>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Opportunity to be confronted with challenging job</w:t>
            </w:r>
          </w:p>
        </w:tc>
        <w:tc>
          <w:tcPr>
            <w:tcW w:w="720" w:type="dxa"/>
            <w:tcBorders>
              <w:top w:val="nil"/>
              <w:left w:val="nil"/>
              <w:bottom w:val="nil"/>
              <w:right w:val="nil"/>
            </w:tcBorders>
            <w:hideMark/>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96</w:t>
            </w:r>
          </w:p>
        </w:tc>
        <w:tc>
          <w:tcPr>
            <w:tcW w:w="990" w:type="dxa"/>
            <w:tcBorders>
              <w:top w:val="nil"/>
              <w:left w:val="nil"/>
              <w:bottom w:val="nil"/>
              <w:right w:val="nil"/>
            </w:tcBorders>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15.49</w:t>
            </w:r>
          </w:p>
          <w:p w:rsidR="00F86DC7" w:rsidRDefault="00F86DC7" w:rsidP="0081057C">
            <w:pPr>
              <w:pStyle w:val="NoSpacing"/>
              <w:spacing w:before="0" w:beforeAutospacing="0"/>
              <w:rPr>
                <w:rFonts w:ascii="Times New Roman" w:eastAsia="Calibri" w:hAnsi="Times New Roman"/>
                <w:sz w:val="24"/>
                <w:szCs w:val="24"/>
              </w:rPr>
            </w:pPr>
          </w:p>
        </w:tc>
        <w:tc>
          <w:tcPr>
            <w:tcW w:w="865" w:type="dxa"/>
            <w:tcBorders>
              <w:top w:val="nil"/>
              <w:left w:val="nil"/>
              <w:bottom w:val="nil"/>
              <w:right w:val="nil"/>
            </w:tcBorders>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2.30</w:t>
            </w:r>
          </w:p>
          <w:p w:rsidR="00F86DC7" w:rsidRDefault="00F86DC7" w:rsidP="0081057C">
            <w:pPr>
              <w:pStyle w:val="NoSpacing"/>
              <w:spacing w:before="0" w:beforeAutospacing="0"/>
              <w:rPr>
                <w:rFonts w:ascii="Times New Roman" w:eastAsia="Calibri" w:hAnsi="Times New Roman"/>
                <w:sz w:val="24"/>
                <w:szCs w:val="24"/>
              </w:rPr>
            </w:pPr>
          </w:p>
        </w:tc>
      </w:tr>
      <w:tr w:rsidR="00F86DC7" w:rsidTr="0081057C">
        <w:trPr>
          <w:trHeight w:val="608"/>
        </w:trPr>
        <w:tc>
          <w:tcPr>
            <w:tcW w:w="5125" w:type="dxa"/>
            <w:tcBorders>
              <w:top w:val="nil"/>
              <w:left w:val="nil"/>
              <w:bottom w:val="nil"/>
              <w:right w:val="nil"/>
            </w:tcBorders>
            <w:hideMark/>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 xml:space="preserve">Recognized and being  given award </w:t>
            </w:r>
          </w:p>
        </w:tc>
        <w:tc>
          <w:tcPr>
            <w:tcW w:w="720" w:type="dxa"/>
            <w:tcBorders>
              <w:top w:val="nil"/>
              <w:left w:val="nil"/>
              <w:bottom w:val="nil"/>
              <w:right w:val="nil"/>
            </w:tcBorders>
            <w:hideMark/>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96</w:t>
            </w:r>
          </w:p>
        </w:tc>
        <w:tc>
          <w:tcPr>
            <w:tcW w:w="990" w:type="dxa"/>
            <w:tcBorders>
              <w:top w:val="nil"/>
              <w:left w:val="nil"/>
              <w:bottom w:val="nil"/>
              <w:right w:val="nil"/>
            </w:tcBorders>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16.73</w:t>
            </w:r>
          </w:p>
          <w:p w:rsidR="00F86DC7" w:rsidRDefault="00F86DC7" w:rsidP="0081057C">
            <w:pPr>
              <w:pStyle w:val="NoSpacing"/>
              <w:spacing w:before="0" w:beforeAutospacing="0"/>
              <w:rPr>
                <w:rFonts w:ascii="Times New Roman" w:eastAsia="Calibri" w:hAnsi="Times New Roman"/>
                <w:sz w:val="24"/>
                <w:szCs w:val="24"/>
              </w:rPr>
            </w:pPr>
          </w:p>
        </w:tc>
        <w:tc>
          <w:tcPr>
            <w:tcW w:w="865" w:type="dxa"/>
            <w:tcBorders>
              <w:top w:val="nil"/>
              <w:left w:val="nil"/>
              <w:bottom w:val="nil"/>
              <w:right w:val="nil"/>
            </w:tcBorders>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1.63</w:t>
            </w:r>
          </w:p>
          <w:p w:rsidR="00F86DC7" w:rsidRDefault="00F86DC7" w:rsidP="0081057C">
            <w:pPr>
              <w:pStyle w:val="NoSpacing"/>
              <w:spacing w:before="0" w:beforeAutospacing="0"/>
              <w:rPr>
                <w:rFonts w:ascii="Times New Roman" w:eastAsia="Calibri" w:hAnsi="Times New Roman"/>
                <w:sz w:val="24"/>
                <w:szCs w:val="24"/>
              </w:rPr>
            </w:pPr>
          </w:p>
        </w:tc>
      </w:tr>
      <w:tr w:rsidR="00F86DC7" w:rsidTr="0081057C">
        <w:trPr>
          <w:trHeight w:val="608"/>
        </w:trPr>
        <w:tc>
          <w:tcPr>
            <w:tcW w:w="5125" w:type="dxa"/>
            <w:tcBorders>
              <w:top w:val="nil"/>
              <w:left w:val="nil"/>
              <w:bottom w:val="nil"/>
              <w:right w:val="nil"/>
            </w:tcBorders>
            <w:hideMark/>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Being  given a better designation</w:t>
            </w:r>
          </w:p>
        </w:tc>
        <w:tc>
          <w:tcPr>
            <w:tcW w:w="720" w:type="dxa"/>
            <w:tcBorders>
              <w:top w:val="nil"/>
              <w:left w:val="nil"/>
              <w:bottom w:val="nil"/>
              <w:right w:val="nil"/>
            </w:tcBorders>
            <w:hideMark/>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96</w:t>
            </w:r>
          </w:p>
        </w:tc>
        <w:tc>
          <w:tcPr>
            <w:tcW w:w="990" w:type="dxa"/>
            <w:tcBorders>
              <w:top w:val="nil"/>
              <w:left w:val="nil"/>
              <w:bottom w:val="nil"/>
              <w:right w:val="nil"/>
            </w:tcBorders>
            <w:hideMark/>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18.20</w:t>
            </w:r>
          </w:p>
        </w:tc>
        <w:tc>
          <w:tcPr>
            <w:tcW w:w="865" w:type="dxa"/>
            <w:tcBorders>
              <w:top w:val="nil"/>
              <w:left w:val="nil"/>
              <w:bottom w:val="nil"/>
              <w:right w:val="nil"/>
            </w:tcBorders>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1.39</w:t>
            </w:r>
          </w:p>
          <w:p w:rsidR="00F86DC7" w:rsidRDefault="00F86DC7" w:rsidP="0081057C">
            <w:pPr>
              <w:pStyle w:val="NoSpacing"/>
              <w:spacing w:before="0" w:beforeAutospacing="0"/>
              <w:rPr>
                <w:rFonts w:ascii="Times New Roman" w:eastAsia="Calibri" w:hAnsi="Times New Roman"/>
                <w:sz w:val="24"/>
                <w:szCs w:val="24"/>
              </w:rPr>
            </w:pPr>
          </w:p>
        </w:tc>
      </w:tr>
      <w:tr w:rsidR="00F86DC7" w:rsidTr="0081057C">
        <w:trPr>
          <w:trHeight w:val="608"/>
        </w:trPr>
        <w:tc>
          <w:tcPr>
            <w:tcW w:w="5125" w:type="dxa"/>
            <w:tcBorders>
              <w:top w:val="nil"/>
              <w:left w:val="nil"/>
              <w:bottom w:val="nil"/>
              <w:right w:val="nil"/>
            </w:tcBorders>
            <w:hideMark/>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Having adequate opportunity for advancement</w:t>
            </w:r>
          </w:p>
        </w:tc>
        <w:tc>
          <w:tcPr>
            <w:tcW w:w="720" w:type="dxa"/>
            <w:tcBorders>
              <w:top w:val="nil"/>
              <w:left w:val="nil"/>
              <w:bottom w:val="nil"/>
              <w:right w:val="nil"/>
            </w:tcBorders>
            <w:hideMark/>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96</w:t>
            </w:r>
          </w:p>
        </w:tc>
        <w:tc>
          <w:tcPr>
            <w:tcW w:w="990" w:type="dxa"/>
            <w:tcBorders>
              <w:top w:val="nil"/>
              <w:left w:val="nil"/>
              <w:bottom w:val="nil"/>
              <w:right w:val="nil"/>
            </w:tcBorders>
            <w:hideMark/>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14.37</w:t>
            </w:r>
          </w:p>
        </w:tc>
        <w:tc>
          <w:tcPr>
            <w:tcW w:w="865" w:type="dxa"/>
            <w:tcBorders>
              <w:top w:val="nil"/>
              <w:left w:val="nil"/>
              <w:bottom w:val="nil"/>
              <w:right w:val="nil"/>
            </w:tcBorders>
            <w:hideMark/>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1.76</w:t>
            </w:r>
          </w:p>
        </w:tc>
      </w:tr>
      <w:tr w:rsidR="00F86DC7" w:rsidTr="0081057C">
        <w:trPr>
          <w:trHeight w:val="608"/>
        </w:trPr>
        <w:tc>
          <w:tcPr>
            <w:tcW w:w="5125" w:type="dxa"/>
            <w:tcBorders>
              <w:top w:val="nil"/>
              <w:left w:val="nil"/>
              <w:bottom w:val="nil"/>
              <w:right w:val="nil"/>
            </w:tcBorders>
            <w:hideMark/>
          </w:tcPr>
          <w:p w:rsidR="00F86DC7" w:rsidRPr="00970B90" w:rsidRDefault="00F86DC7" w:rsidP="0081057C">
            <w:pPr>
              <w:pStyle w:val="NoSpacing"/>
              <w:spacing w:before="0" w:beforeAutospacing="0"/>
              <w:rPr>
                <w:rFonts w:ascii="Times New Roman" w:eastAsia="Calibri" w:hAnsi="Times New Roman"/>
                <w:bCs/>
                <w:sz w:val="24"/>
                <w:szCs w:val="24"/>
              </w:rPr>
            </w:pPr>
            <w:r w:rsidRPr="00970B90">
              <w:rPr>
                <w:rFonts w:ascii="Times New Roman" w:eastAsia="Calibri" w:hAnsi="Times New Roman"/>
                <w:bCs/>
                <w:sz w:val="24"/>
                <w:szCs w:val="24"/>
              </w:rPr>
              <w:t>Attitude to work</w:t>
            </w:r>
          </w:p>
        </w:tc>
        <w:tc>
          <w:tcPr>
            <w:tcW w:w="720" w:type="dxa"/>
            <w:tcBorders>
              <w:top w:val="nil"/>
              <w:left w:val="nil"/>
              <w:bottom w:val="nil"/>
              <w:right w:val="nil"/>
            </w:tcBorders>
          </w:tcPr>
          <w:p w:rsidR="00F86DC7" w:rsidRDefault="00F86DC7" w:rsidP="0081057C">
            <w:pPr>
              <w:pStyle w:val="NoSpacing"/>
              <w:spacing w:before="0" w:beforeAutospacing="0"/>
              <w:rPr>
                <w:rFonts w:ascii="Times New Roman" w:eastAsia="Calibri" w:hAnsi="Times New Roman"/>
                <w:sz w:val="24"/>
                <w:szCs w:val="24"/>
              </w:rPr>
            </w:pPr>
          </w:p>
        </w:tc>
        <w:tc>
          <w:tcPr>
            <w:tcW w:w="990" w:type="dxa"/>
            <w:tcBorders>
              <w:top w:val="nil"/>
              <w:left w:val="nil"/>
              <w:bottom w:val="nil"/>
              <w:right w:val="nil"/>
            </w:tcBorders>
          </w:tcPr>
          <w:p w:rsidR="00F86DC7" w:rsidRDefault="00F86DC7" w:rsidP="0081057C">
            <w:pPr>
              <w:pStyle w:val="NoSpacing"/>
              <w:spacing w:before="0" w:beforeAutospacing="0"/>
              <w:rPr>
                <w:rFonts w:ascii="Times New Roman" w:eastAsia="Calibri" w:hAnsi="Times New Roman"/>
                <w:sz w:val="24"/>
                <w:szCs w:val="24"/>
              </w:rPr>
            </w:pPr>
          </w:p>
        </w:tc>
        <w:tc>
          <w:tcPr>
            <w:tcW w:w="865" w:type="dxa"/>
            <w:tcBorders>
              <w:top w:val="nil"/>
              <w:left w:val="nil"/>
              <w:bottom w:val="nil"/>
              <w:right w:val="nil"/>
            </w:tcBorders>
          </w:tcPr>
          <w:p w:rsidR="00F86DC7" w:rsidRDefault="00F86DC7" w:rsidP="0081057C">
            <w:pPr>
              <w:pStyle w:val="NoSpacing"/>
              <w:spacing w:before="0" w:beforeAutospacing="0"/>
              <w:rPr>
                <w:rFonts w:ascii="Times New Roman" w:eastAsia="Calibri" w:hAnsi="Times New Roman"/>
                <w:sz w:val="24"/>
                <w:szCs w:val="24"/>
              </w:rPr>
            </w:pPr>
          </w:p>
        </w:tc>
      </w:tr>
      <w:tr w:rsidR="00F86DC7" w:rsidTr="0081057C">
        <w:trPr>
          <w:trHeight w:val="456"/>
        </w:trPr>
        <w:tc>
          <w:tcPr>
            <w:tcW w:w="5125" w:type="dxa"/>
            <w:tcBorders>
              <w:top w:val="nil"/>
              <w:left w:val="nil"/>
              <w:bottom w:val="nil"/>
              <w:right w:val="nil"/>
            </w:tcBorders>
            <w:hideMark/>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Class motivation</w:t>
            </w:r>
          </w:p>
        </w:tc>
        <w:tc>
          <w:tcPr>
            <w:tcW w:w="720" w:type="dxa"/>
            <w:tcBorders>
              <w:top w:val="nil"/>
              <w:left w:val="nil"/>
              <w:bottom w:val="nil"/>
              <w:right w:val="nil"/>
            </w:tcBorders>
            <w:hideMark/>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96</w:t>
            </w:r>
          </w:p>
        </w:tc>
        <w:tc>
          <w:tcPr>
            <w:tcW w:w="990" w:type="dxa"/>
            <w:tcBorders>
              <w:top w:val="nil"/>
              <w:left w:val="nil"/>
              <w:bottom w:val="nil"/>
              <w:right w:val="nil"/>
            </w:tcBorders>
            <w:hideMark/>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26.01</w:t>
            </w:r>
          </w:p>
        </w:tc>
        <w:tc>
          <w:tcPr>
            <w:tcW w:w="865" w:type="dxa"/>
            <w:tcBorders>
              <w:top w:val="nil"/>
              <w:left w:val="nil"/>
              <w:bottom w:val="nil"/>
              <w:right w:val="nil"/>
            </w:tcBorders>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1.54</w:t>
            </w:r>
          </w:p>
          <w:p w:rsidR="00F86DC7" w:rsidRDefault="00F86DC7" w:rsidP="0081057C">
            <w:pPr>
              <w:pStyle w:val="NoSpacing"/>
              <w:spacing w:before="0" w:beforeAutospacing="0"/>
              <w:rPr>
                <w:rFonts w:ascii="Times New Roman" w:eastAsia="Calibri" w:hAnsi="Times New Roman"/>
                <w:sz w:val="24"/>
                <w:szCs w:val="24"/>
              </w:rPr>
            </w:pPr>
          </w:p>
        </w:tc>
      </w:tr>
      <w:tr w:rsidR="00F86DC7" w:rsidTr="0081057C">
        <w:trPr>
          <w:trHeight w:val="503"/>
        </w:trPr>
        <w:tc>
          <w:tcPr>
            <w:tcW w:w="5125" w:type="dxa"/>
            <w:tcBorders>
              <w:top w:val="nil"/>
              <w:left w:val="nil"/>
              <w:bottom w:val="nil"/>
              <w:right w:val="nil"/>
            </w:tcBorders>
            <w:hideMark/>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Punctuality to work</w:t>
            </w:r>
          </w:p>
        </w:tc>
        <w:tc>
          <w:tcPr>
            <w:tcW w:w="720" w:type="dxa"/>
            <w:tcBorders>
              <w:top w:val="nil"/>
              <w:left w:val="nil"/>
              <w:bottom w:val="nil"/>
              <w:right w:val="nil"/>
            </w:tcBorders>
            <w:hideMark/>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96</w:t>
            </w:r>
          </w:p>
        </w:tc>
        <w:tc>
          <w:tcPr>
            <w:tcW w:w="990" w:type="dxa"/>
            <w:tcBorders>
              <w:top w:val="nil"/>
              <w:left w:val="nil"/>
              <w:bottom w:val="nil"/>
              <w:right w:val="nil"/>
            </w:tcBorders>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16.49</w:t>
            </w:r>
          </w:p>
          <w:p w:rsidR="00F86DC7" w:rsidRDefault="00F86DC7" w:rsidP="0081057C">
            <w:pPr>
              <w:pStyle w:val="NoSpacing"/>
              <w:spacing w:before="0" w:beforeAutospacing="0"/>
              <w:rPr>
                <w:rFonts w:ascii="Times New Roman" w:eastAsia="Calibri" w:hAnsi="Times New Roman"/>
                <w:sz w:val="24"/>
                <w:szCs w:val="24"/>
              </w:rPr>
            </w:pPr>
          </w:p>
        </w:tc>
        <w:tc>
          <w:tcPr>
            <w:tcW w:w="865" w:type="dxa"/>
            <w:tcBorders>
              <w:top w:val="nil"/>
              <w:left w:val="nil"/>
              <w:bottom w:val="nil"/>
              <w:right w:val="nil"/>
            </w:tcBorders>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2.30</w:t>
            </w:r>
          </w:p>
          <w:p w:rsidR="00F86DC7" w:rsidRDefault="00F86DC7" w:rsidP="0081057C">
            <w:pPr>
              <w:pStyle w:val="NoSpacing"/>
              <w:spacing w:before="0" w:beforeAutospacing="0"/>
              <w:rPr>
                <w:rFonts w:ascii="Times New Roman" w:eastAsia="Calibri" w:hAnsi="Times New Roman"/>
                <w:sz w:val="24"/>
                <w:szCs w:val="24"/>
              </w:rPr>
            </w:pPr>
          </w:p>
        </w:tc>
      </w:tr>
      <w:tr w:rsidR="00F86DC7" w:rsidTr="0081057C">
        <w:trPr>
          <w:trHeight w:val="534"/>
        </w:trPr>
        <w:tc>
          <w:tcPr>
            <w:tcW w:w="5125" w:type="dxa"/>
            <w:tcBorders>
              <w:top w:val="nil"/>
              <w:left w:val="nil"/>
              <w:bottom w:val="nil"/>
              <w:right w:val="nil"/>
            </w:tcBorders>
            <w:hideMark/>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Feedback and evaluation</w:t>
            </w:r>
          </w:p>
        </w:tc>
        <w:tc>
          <w:tcPr>
            <w:tcW w:w="720" w:type="dxa"/>
            <w:tcBorders>
              <w:top w:val="nil"/>
              <w:left w:val="nil"/>
              <w:bottom w:val="nil"/>
              <w:right w:val="nil"/>
            </w:tcBorders>
            <w:hideMark/>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96</w:t>
            </w:r>
          </w:p>
        </w:tc>
        <w:tc>
          <w:tcPr>
            <w:tcW w:w="990" w:type="dxa"/>
            <w:tcBorders>
              <w:top w:val="nil"/>
              <w:left w:val="nil"/>
              <w:bottom w:val="nil"/>
              <w:right w:val="nil"/>
            </w:tcBorders>
            <w:hideMark/>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13.37</w:t>
            </w:r>
          </w:p>
        </w:tc>
        <w:tc>
          <w:tcPr>
            <w:tcW w:w="865" w:type="dxa"/>
            <w:tcBorders>
              <w:top w:val="nil"/>
              <w:left w:val="nil"/>
              <w:bottom w:val="nil"/>
              <w:right w:val="nil"/>
            </w:tcBorders>
            <w:hideMark/>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1.76</w:t>
            </w:r>
          </w:p>
        </w:tc>
      </w:tr>
      <w:tr w:rsidR="00F86DC7" w:rsidTr="0081057C">
        <w:trPr>
          <w:trHeight w:val="562"/>
        </w:trPr>
        <w:tc>
          <w:tcPr>
            <w:tcW w:w="5125" w:type="dxa"/>
            <w:tcBorders>
              <w:top w:val="nil"/>
              <w:left w:val="nil"/>
              <w:bottom w:val="nil"/>
              <w:right w:val="nil"/>
            </w:tcBorders>
            <w:hideMark/>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 xml:space="preserve"> Feedback and evaluation</w:t>
            </w:r>
          </w:p>
        </w:tc>
        <w:tc>
          <w:tcPr>
            <w:tcW w:w="720" w:type="dxa"/>
            <w:tcBorders>
              <w:top w:val="nil"/>
              <w:left w:val="nil"/>
              <w:bottom w:val="nil"/>
              <w:right w:val="nil"/>
            </w:tcBorders>
            <w:hideMark/>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96</w:t>
            </w:r>
          </w:p>
        </w:tc>
        <w:tc>
          <w:tcPr>
            <w:tcW w:w="990" w:type="dxa"/>
            <w:tcBorders>
              <w:top w:val="nil"/>
              <w:left w:val="nil"/>
              <w:bottom w:val="nil"/>
              <w:right w:val="nil"/>
            </w:tcBorders>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14.41</w:t>
            </w:r>
          </w:p>
          <w:p w:rsidR="00F86DC7" w:rsidRDefault="00F86DC7" w:rsidP="0081057C">
            <w:pPr>
              <w:pStyle w:val="NoSpacing"/>
              <w:spacing w:before="0" w:beforeAutospacing="0"/>
              <w:rPr>
                <w:rFonts w:ascii="Times New Roman" w:eastAsia="Calibri" w:hAnsi="Times New Roman"/>
                <w:sz w:val="24"/>
                <w:szCs w:val="24"/>
              </w:rPr>
            </w:pPr>
          </w:p>
        </w:tc>
        <w:tc>
          <w:tcPr>
            <w:tcW w:w="865" w:type="dxa"/>
            <w:tcBorders>
              <w:top w:val="nil"/>
              <w:left w:val="nil"/>
              <w:bottom w:val="nil"/>
              <w:right w:val="nil"/>
            </w:tcBorders>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1.93</w:t>
            </w:r>
          </w:p>
          <w:p w:rsidR="00F86DC7" w:rsidRDefault="00F86DC7" w:rsidP="0081057C">
            <w:pPr>
              <w:pStyle w:val="NoSpacing"/>
              <w:spacing w:before="0" w:beforeAutospacing="0"/>
              <w:rPr>
                <w:rFonts w:ascii="Times New Roman" w:eastAsia="Calibri" w:hAnsi="Times New Roman"/>
                <w:sz w:val="24"/>
                <w:szCs w:val="24"/>
              </w:rPr>
            </w:pPr>
          </w:p>
        </w:tc>
      </w:tr>
      <w:tr w:rsidR="00F86DC7" w:rsidTr="0081057C">
        <w:trPr>
          <w:trHeight w:val="609"/>
        </w:trPr>
        <w:tc>
          <w:tcPr>
            <w:tcW w:w="5125" w:type="dxa"/>
            <w:tcBorders>
              <w:top w:val="nil"/>
              <w:left w:val="nil"/>
              <w:bottom w:val="nil"/>
              <w:right w:val="nil"/>
            </w:tcBorders>
            <w:hideMark/>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Commitment to work</w:t>
            </w:r>
          </w:p>
        </w:tc>
        <w:tc>
          <w:tcPr>
            <w:tcW w:w="720" w:type="dxa"/>
            <w:tcBorders>
              <w:top w:val="nil"/>
              <w:left w:val="nil"/>
              <w:bottom w:val="nil"/>
              <w:right w:val="nil"/>
            </w:tcBorders>
            <w:hideMark/>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96</w:t>
            </w:r>
          </w:p>
        </w:tc>
        <w:tc>
          <w:tcPr>
            <w:tcW w:w="990" w:type="dxa"/>
            <w:tcBorders>
              <w:top w:val="nil"/>
              <w:left w:val="nil"/>
              <w:bottom w:val="nil"/>
              <w:right w:val="nil"/>
            </w:tcBorders>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15.73</w:t>
            </w:r>
          </w:p>
          <w:p w:rsidR="00F86DC7" w:rsidRDefault="00F86DC7" w:rsidP="0081057C">
            <w:pPr>
              <w:pStyle w:val="NoSpacing"/>
              <w:spacing w:before="0" w:beforeAutospacing="0"/>
              <w:rPr>
                <w:rFonts w:ascii="Times New Roman" w:eastAsia="Calibri" w:hAnsi="Times New Roman"/>
                <w:sz w:val="24"/>
                <w:szCs w:val="24"/>
              </w:rPr>
            </w:pPr>
          </w:p>
        </w:tc>
        <w:tc>
          <w:tcPr>
            <w:tcW w:w="865" w:type="dxa"/>
            <w:tcBorders>
              <w:top w:val="nil"/>
              <w:left w:val="nil"/>
              <w:bottom w:val="nil"/>
              <w:right w:val="nil"/>
            </w:tcBorders>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1.63</w:t>
            </w:r>
          </w:p>
          <w:p w:rsidR="00F86DC7" w:rsidRDefault="00F86DC7" w:rsidP="0081057C">
            <w:pPr>
              <w:pStyle w:val="NoSpacing"/>
              <w:spacing w:before="0" w:beforeAutospacing="0"/>
              <w:rPr>
                <w:rFonts w:ascii="Times New Roman" w:eastAsia="Calibri" w:hAnsi="Times New Roman"/>
                <w:sz w:val="24"/>
                <w:szCs w:val="24"/>
              </w:rPr>
            </w:pPr>
          </w:p>
        </w:tc>
      </w:tr>
      <w:tr w:rsidR="00F86DC7" w:rsidTr="0081057C">
        <w:trPr>
          <w:trHeight w:val="609"/>
        </w:trPr>
        <w:tc>
          <w:tcPr>
            <w:tcW w:w="5125" w:type="dxa"/>
            <w:tcBorders>
              <w:top w:val="nil"/>
              <w:left w:val="nil"/>
              <w:bottom w:val="single" w:sz="4" w:space="0" w:color="auto"/>
              <w:right w:val="nil"/>
            </w:tcBorders>
            <w:hideMark/>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 xml:space="preserve">Attitude to teaching </w:t>
            </w:r>
          </w:p>
        </w:tc>
        <w:tc>
          <w:tcPr>
            <w:tcW w:w="720" w:type="dxa"/>
            <w:tcBorders>
              <w:top w:val="nil"/>
              <w:left w:val="nil"/>
              <w:bottom w:val="single" w:sz="4" w:space="0" w:color="auto"/>
              <w:right w:val="nil"/>
            </w:tcBorders>
            <w:hideMark/>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96</w:t>
            </w:r>
          </w:p>
        </w:tc>
        <w:tc>
          <w:tcPr>
            <w:tcW w:w="990" w:type="dxa"/>
            <w:tcBorders>
              <w:top w:val="nil"/>
              <w:left w:val="nil"/>
              <w:bottom w:val="single" w:sz="4" w:space="0" w:color="auto"/>
              <w:right w:val="nil"/>
            </w:tcBorders>
            <w:hideMark/>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17.20</w:t>
            </w:r>
          </w:p>
        </w:tc>
        <w:tc>
          <w:tcPr>
            <w:tcW w:w="865" w:type="dxa"/>
            <w:tcBorders>
              <w:top w:val="nil"/>
              <w:left w:val="nil"/>
              <w:bottom w:val="single" w:sz="4" w:space="0" w:color="auto"/>
              <w:right w:val="nil"/>
            </w:tcBorders>
          </w:tcPr>
          <w:p w:rsidR="00F86DC7" w:rsidRDefault="00F86DC7" w:rsidP="0081057C">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1.39</w:t>
            </w:r>
          </w:p>
          <w:p w:rsidR="00F86DC7" w:rsidRDefault="00F86DC7" w:rsidP="0081057C">
            <w:pPr>
              <w:pStyle w:val="NoSpacing"/>
              <w:spacing w:before="0" w:beforeAutospacing="0"/>
              <w:rPr>
                <w:rFonts w:ascii="Times New Roman" w:eastAsia="Calibri" w:hAnsi="Times New Roman"/>
                <w:sz w:val="24"/>
                <w:szCs w:val="24"/>
              </w:rPr>
            </w:pPr>
          </w:p>
        </w:tc>
      </w:tr>
    </w:tbl>
    <w:p w:rsidR="00F86DC7" w:rsidRDefault="00F86DC7" w:rsidP="00F86DC7">
      <w:pPr>
        <w:rPr>
          <w:color w:val="000000"/>
          <w:sz w:val="24"/>
          <w:szCs w:val="24"/>
        </w:rPr>
      </w:pPr>
      <w:r>
        <w:rPr>
          <w:color w:val="000000"/>
          <w:sz w:val="24"/>
          <w:szCs w:val="24"/>
        </w:rPr>
        <w:t xml:space="preserve"> </w:t>
      </w:r>
    </w:p>
    <w:p w:rsidR="00F86DC7" w:rsidRPr="00970B90" w:rsidRDefault="00F86DC7" w:rsidP="00F86DC7">
      <w:pPr>
        <w:jc w:val="both"/>
        <w:rPr>
          <w:sz w:val="24"/>
          <w:szCs w:val="24"/>
        </w:rPr>
      </w:pPr>
      <w:r>
        <w:rPr>
          <w:sz w:val="24"/>
          <w:szCs w:val="24"/>
        </w:rPr>
        <w:t xml:space="preserve"> </w:t>
      </w:r>
    </w:p>
    <w:p w:rsidR="00F86DC7" w:rsidRDefault="00F86DC7" w:rsidP="00F86DC7">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 xml:space="preserve"> </w:t>
      </w:r>
    </w:p>
    <w:p w:rsidR="00F86DC7" w:rsidRDefault="00F86DC7" w:rsidP="00F86DC7">
      <w:pPr>
        <w:pStyle w:val="NoSpacing"/>
        <w:spacing w:before="0" w:beforeAutospacing="0"/>
        <w:rPr>
          <w:rFonts w:ascii="Times New Roman" w:eastAsia="Calibri" w:hAnsi="Times New Roman"/>
          <w:sz w:val="24"/>
          <w:szCs w:val="24"/>
        </w:rPr>
      </w:pPr>
      <w:r>
        <w:rPr>
          <w:rFonts w:ascii="Times New Roman" w:eastAsia="Calibri" w:hAnsi="Times New Roman"/>
          <w:sz w:val="24"/>
          <w:szCs w:val="24"/>
        </w:rPr>
        <w:t xml:space="preserve">Results in Table 1 shows that non-monetary rewards   have influenced teachers’ Work attitude  </w:t>
      </w:r>
    </w:p>
    <w:p w:rsidR="00F86DC7" w:rsidRDefault="00F86DC7" w:rsidP="00F86DC7">
      <w:pPr>
        <w:pStyle w:val="NoSpacing"/>
        <w:spacing w:before="0" w:beforeAutospacing="0"/>
        <w:rPr>
          <w:rFonts w:ascii="Times New Roman" w:eastAsia="Calibri" w:hAnsi="Times New Roman"/>
          <w:b/>
          <w:bCs/>
          <w:sz w:val="24"/>
          <w:szCs w:val="24"/>
        </w:rPr>
      </w:pPr>
      <w:r>
        <w:rPr>
          <w:rFonts w:ascii="Times New Roman" w:eastAsia="Calibri" w:hAnsi="Times New Roman"/>
          <w:b/>
          <w:bCs/>
          <w:sz w:val="24"/>
          <w:szCs w:val="24"/>
        </w:rPr>
        <w:t xml:space="preserve"> </w:t>
      </w:r>
    </w:p>
    <w:p w:rsidR="00F86DC7" w:rsidRDefault="00F86DC7" w:rsidP="00F86DC7">
      <w:pPr>
        <w:pStyle w:val="NoSpacing"/>
        <w:spacing w:before="0" w:beforeAutospacing="0"/>
        <w:ind w:firstLine="360"/>
        <w:rPr>
          <w:rFonts w:ascii="Times New Roman" w:eastAsia="Calibri" w:hAnsi="Times New Roman"/>
          <w:b/>
          <w:bCs/>
          <w:sz w:val="24"/>
          <w:szCs w:val="24"/>
        </w:rPr>
      </w:pPr>
    </w:p>
    <w:p w:rsidR="00F86DC7" w:rsidRDefault="00F86DC7" w:rsidP="00F86DC7">
      <w:pPr>
        <w:jc w:val="both"/>
        <w:rPr>
          <w:color w:val="000000"/>
          <w:sz w:val="24"/>
          <w:szCs w:val="24"/>
        </w:rPr>
      </w:pPr>
      <w:r>
        <w:rPr>
          <w:sz w:val="24"/>
          <w:szCs w:val="24"/>
        </w:rPr>
        <w:t>Table 2: Simple Regression Analysis of influence of non-</w:t>
      </w:r>
      <w:r>
        <w:rPr>
          <w:color w:val="000000"/>
          <w:sz w:val="24"/>
          <w:szCs w:val="24"/>
        </w:rPr>
        <w:t>financial reward on work attitude of Agricultural science teachers in junior secondary schools in Ogoja Local Government Area, Cross River State, Nigeria  N=122</w:t>
      </w:r>
    </w:p>
    <w:p w:rsidR="00F86DC7" w:rsidRDefault="00F86DC7" w:rsidP="00F86DC7">
      <w:pPr>
        <w:pStyle w:val="NoSpacing"/>
        <w:spacing w:before="0" w:beforeAutospacing="0"/>
        <w:jc w:val="both"/>
        <w:rPr>
          <w:rFonts w:ascii="Times New Roman" w:eastAsia="Calibri" w:hAnsi="Times New Roman"/>
          <w:sz w:val="24"/>
          <w:szCs w:val="24"/>
        </w:rPr>
      </w:pPr>
      <w:r>
        <w:rPr>
          <w:rFonts w:ascii="Times New Roman" w:eastAsia="Calibri" w:hAnsi="Times New Roman"/>
          <w:sz w:val="24"/>
          <w:szCs w:val="24"/>
        </w:rPr>
        <w:t xml:space="preserve"> </w:t>
      </w:r>
    </w:p>
    <w:tbl>
      <w:tblPr>
        <w:tblW w:w="0" w:type="auto"/>
        <w:tblLook w:val="04A0" w:firstRow="1" w:lastRow="0" w:firstColumn="1" w:lastColumn="0" w:noHBand="0" w:noVBand="1"/>
      </w:tblPr>
      <w:tblGrid>
        <w:gridCol w:w="2429"/>
        <w:gridCol w:w="1236"/>
        <w:gridCol w:w="1182"/>
        <w:gridCol w:w="1116"/>
        <w:gridCol w:w="945"/>
        <w:gridCol w:w="822"/>
      </w:tblGrid>
      <w:tr w:rsidR="00F86DC7" w:rsidTr="0081057C">
        <w:trPr>
          <w:trHeight w:val="593"/>
        </w:trPr>
        <w:tc>
          <w:tcPr>
            <w:tcW w:w="2429" w:type="dxa"/>
            <w:tcBorders>
              <w:top w:val="single" w:sz="4" w:space="0" w:color="auto"/>
              <w:left w:val="nil"/>
              <w:bottom w:val="single" w:sz="4" w:space="0" w:color="auto"/>
              <w:right w:val="nil"/>
            </w:tcBorders>
            <w:hideMark/>
          </w:tcPr>
          <w:p w:rsidR="00F86DC7" w:rsidRDefault="00F86DC7" w:rsidP="0081057C">
            <w:pPr>
              <w:pStyle w:val="NormalWeb"/>
              <w:spacing w:before="0" w:beforeAutospacing="0" w:after="0" w:afterAutospacing="0"/>
              <w:rPr>
                <w:rFonts w:eastAsia="SimSun"/>
              </w:rPr>
            </w:pPr>
            <w:r>
              <w:rPr>
                <w:rFonts w:eastAsia="SimSun"/>
              </w:rPr>
              <w:t>Model</w:t>
            </w:r>
          </w:p>
        </w:tc>
        <w:tc>
          <w:tcPr>
            <w:tcW w:w="1236" w:type="dxa"/>
            <w:tcBorders>
              <w:top w:val="single" w:sz="4" w:space="0" w:color="auto"/>
              <w:left w:val="nil"/>
              <w:bottom w:val="single" w:sz="4" w:space="0" w:color="auto"/>
              <w:right w:val="nil"/>
            </w:tcBorders>
            <w:hideMark/>
          </w:tcPr>
          <w:p w:rsidR="00F86DC7" w:rsidRDefault="00F86DC7" w:rsidP="0081057C">
            <w:pPr>
              <w:pStyle w:val="NormalWeb"/>
              <w:spacing w:before="0" w:beforeAutospacing="0" w:after="0" w:afterAutospacing="0"/>
              <w:rPr>
                <w:rFonts w:eastAsia="SimSun"/>
              </w:rPr>
            </w:pPr>
            <w:r>
              <w:rPr>
                <w:rFonts w:eastAsia="SimSun"/>
              </w:rPr>
              <w:t xml:space="preserve">Sum Square     </w:t>
            </w:r>
          </w:p>
        </w:tc>
        <w:tc>
          <w:tcPr>
            <w:tcW w:w="1182" w:type="dxa"/>
            <w:tcBorders>
              <w:top w:val="single" w:sz="4" w:space="0" w:color="auto"/>
              <w:left w:val="nil"/>
              <w:bottom w:val="single" w:sz="4" w:space="0" w:color="auto"/>
              <w:right w:val="nil"/>
            </w:tcBorders>
            <w:hideMark/>
          </w:tcPr>
          <w:p w:rsidR="00F86DC7" w:rsidRDefault="00F86DC7" w:rsidP="0081057C">
            <w:pPr>
              <w:pStyle w:val="NormalWeb"/>
              <w:spacing w:before="0" w:beforeAutospacing="0" w:after="0" w:afterAutospacing="0"/>
              <w:rPr>
                <w:rFonts w:eastAsia="SimSun"/>
              </w:rPr>
            </w:pPr>
            <w:r>
              <w:rPr>
                <w:rFonts w:eastAsia="SimSun"/>
              </w:rPr>
              <w:t>df</w:t>
            </w:r>
          </w:p>
        </w:tc>
        <w:tc>
          <w:tcPr>
            <w:tcW w:w="1116" w:type="dxa"/>
            <w:tcBorders>
              <w:top w:val="single" w:sz="4" w:space="0" w:color="auto"/>
              <w:left w:val="nil"/>
              <w:bottom w:val="single" w:sz="4" w:space="0" w:color="auto"/>
              <w:right w:val="nil"/>
            </w:tcBorders>
            <w:hideMark/>
          </w:tcPr>
          <w:p w:rsidR="00F86DC7" w:rsidRDefault="00F86DC7" w:rsidP="0081057C">
            <w:pPr>
              <w:pStyle w:val="NormalWeb"/>
              <w:spacing w:before="0" w:beforeAutospacing="0" w:after="0" w:afterAutospacing="0"/>
              <w:rPr>
                <w:rFonts w:eastAsia="SimSun"/>
              </w:rPr>
            </w:pPr>
            <w:r>
              <w:rPr>
                <w:rFonts w:eastAsia="SimSun"/>
              </w:rPr>
              <w:t>Mean Square</w:t>
            </w:r>
          </w:p>
        </w:tc>
        <w:tc>
          <w:tcPr>
            <w:tcW w:w="945" w:type="dxa"/>
            <w:tcBorders>
              <w:top w:val="single" w:sz="4" w:space="0" w:color="auto"/>
              <w:left w:val="nil"/>
              <w:bottom w:val="single" w:sz="4" w:space="0" w:color="auto"/>
              <w:right w:val="nil"/>
            </w:tcBorders>
            <w:hideMark/>
          </w:tcPr>
          <w:p w:rsidR="00F86DC7" w:rsidRDefault="00F86DC7" w:rsidP="0081057C">
            <w:pPr>
              <w:pStyle w:val="NormalWeb"/>
              <w:spacing w:before="0" w:beforeAutospacing="0" w:after="0" w:afterAutospacing="0"/>
              <w:rPr>
                <w:rFonts w:eastAsia="SimSun"/>
              </w:rPr>
            </w:pPr>
            <w:r>
              <w:rPr>
                <w:rFonts w:eastAsia="SimSun"/>
              </w:rPr>
              <w:t>F</w:t>
            </w:r>
          </w:p>
        </w:tc>
        <w:tc>
          <w:tcPr>
            <w:tcW w:w="822" w:type="dxa"/>
            <w:tcBorders>
              <w:top w:val="single" w:sz="4" w:space="0" w:color="auto"/>
              <w:left w:val="nil"/>
              <w:bottom w:val="single" w:sz="4" w:space="0" w:color="auto"/>
              <w:right w:val="nil"/>
            </w:tcBorders>
            <w:hideMark/>
          </w:tcPr>
          <w:p w:rsidR="00F86DC7" w:rsidRDefault="00F86DC7" w:rsidP="0081057C">
            <w:pPr>
              <w:pStyle w:val="NormalWeb"/>
              <w:spacing w:before="0" w:beforeAutospacing="0" w:after="0" w:afterAutospacing="0"/>
              <w:rPr>
                <w:rFonts w:eastAsia="SimSun"/>
              </w:rPr>
            </w:pPr>
            <w:r>
              <w:rPr>
                <w:rFonts w:eastAsia="SimSun"/>
              </w:rPr>
              <w:t>Sig</w:t>
            </w:r>
          </w:p>
        </w:tc>
      </w:tr>
      <w:tr w:rsidR="00F86DC7" w:rsidTr="0081057C">
        <w:tc>
          <w:tcPr>
            <w:tcW w:w="2429" w:type="dxa"/>
            <w:tcBorders>
              <w:top w:val="single" w:sz="4" w:space="0" w:color="auto"/>
              <w:left w:val="nil"/>
              <w:bottom w:val="nil"/>
              <w:right w:val="nil"/>
            </w:tcBorders>
            <w:hideMark/>
          </w:tcPr>
          <w:p w:rsidR="00F86DC7" w:rsidRDefault="00F86DC7" w:rsidP="0081057C">
            <w:pPr>
              <w:pStyle w:val="NoSpacing"/>
              <w:spacing w:before="0" w:beforeAutospacing="0"/>
              <w:jc w:val="both"/>
              <w:rPr>
                <w:rFonts w:ascii="Times New Roman" w:eastAsia="Calibri" w:hAnsi="Times New Roman"/>
                <w:sz w:val="24"/>
                <w:szCs w:val="24"/>
              </w:rPr>
            </w:pPr>
            <w:r>
              <w:rPr>
                <w:rFonts w:ascii="Times New Roman" w:eastAsia="Calibri" w:hAnsi="Times New Roman"/>
                <w:sz w:val="24"/>
                <w:szCs w:val="24"/>
              </w:rPr>
              <w:t>Regression</w:t>
            </w:r>
          </w:p>
        </w:tc>
        <w:tc>
          <w:tcPr>
            <w:tcW w:w="1236" w:type="dxa"/>
            <w:tcBorders>
              <w:top w:val="single" w:sz="4" w:space="0" w:color="auto"/>
              <w:left w:val="nil"/>
              <w:bottom w:val="nil"/>
              <w:right w:val="nil"/>
            </w:tcBorders>
            <w:hideMark/>
          </w:tcPr>
          <w:p w:rsidR="00F86DC7" w:rsidRDefault="00F86DC7" w:rsidP="0081057C">
            <w:pPr>
              <w:pStyle w:val="NoSpacing"/>
              <w:spacing w:before="0" w:beforeAutospacing="0"/>
              <w:jc w:val="both"/>
              <w:rPr>
                <w:rFonts w:ascii="Times New Roman" w:eastAsia="Calibri" w:hAnsi="Times New Roman"/>
                <w:sz w:val="24"/>
                <w:szCs w:val="24"/>
              </w:rPr>
            </w:pPr>
            <w:r>
              <w:rPr>
                <w:rFonts w:ascii="Times New Roman" w:eastAsia="Calibri" w:hAnsi="Times New Roman"/>
                <w:sz w:val="24"/>
                <w:szCs w:val="24"/>
              </w:rPr>
              <w:t>2858.201</w:t>
            </w:r>
          </w:p>
        </w:tc>
        <w:tc>
          <w:tcPr>
            <w:tcW w:w="1182" w:type="dxa"/>
            <w:tcBorders>
              <w:top w:val="single" w:sz="4" w:space="0" w:color="auto"/>
              <w:left w:val="nil"/>
              <w:bottom w:val="nil"/>
              <w:right w:val="nil"/>
            </w:tcBorders>
            <w:hideMark/>
          </w:tcPr>
          <w:p w:rsidR="00F86DC7" w:rsidRDefault="00F86DC7" w:rsidP="0081057C">
            <w:pPr>
              <w:pStyle w:val="NoSpacing"/>
              <w:spacing w:before="0" w:beforeAutospacing="0"/>
              <w:jc w:val="both"/>
              <w:rPr>
                <w:rFonts w:ascii="Times New Roman" w:eastAsia="Calibri" w:hAnsi="Times New Roman"/>
                <w:sz w:val="24"/>
                <w:szCs w:val="24"/>
              </w:rPr>
            </w:pPr>
            <w:r>
              <w:rPr>
                <w:rFonts w:ascii="Times New Roman" w:eastAsia="Calibri" w:hAnsi="Times New Roman"/>
                <w:sz w:val="24"/>
                <w:szCs w:val="24"/>
              </w:rPr>
              <w:t>1</w:t>
            </w:r>
          </w:p>
        </w:tc>
        <w:tc>
          <w:tcPr>
            <w:tcW w:w="1116" w:type="dxa"/>
            <w:tcBorders>
              <w:top w:val="single" w:sz="4" w:space="0" w:color="auto"/>
              <w:left w:val="nil"/>
              <w:bottom w:val="nil"/>
              <w:right w:val="nil"/>
            </w:tcBorders>
            <w:hideMark/>
          </w:tcPr>
          <w:p w:rsidR="00F86DC7" w:rsidRDefault="00F86DC7" w:rsidP="0081057C">
            <w:pPr>
              <w:pStyle w:val="NoSpacing"/>
              <w:spacing w:before="0" w:beforeAutospacing="0"/>
              <w:jc w:val="both"/>
              <w:rPr>
                <w:rFonts w:ascii="Times New Roman" w:eastAsia="Calibri" w:hAnsi="Times New Roman"/>
                <w:sz w:val="24"/>
                <w:szCs w:val="24"/>
              </w:rPr>
            </w:pPr>
            <w:r>
              <w:rPr>
                <w:rFonts w:ascii="Times New Roman" w:eastAsia="Calibri" w:hAnsi="Times New Roman"/>
                <w:sz w:val="24"/>
                <w:szCs w:val="24"/>
              </w:rPr>
              <w:t>2858.201</w:t>
            </w:r>
          </w:p>
        </w:tc>
        <w:tc>
          <w:tcPr>
            <w:tcW w:w="945" w:type="dxa"/>
            <w:tcBorders>
              <w:top w:val="single" w:sz="4" w:space="0" w:color="auto"/>
              <w:left w:val="nil"/>
              <w:bottom w:val="nil"/>
              <w:right w:val="nil"/>
            </w:tcBorders>
            <w:hideMark/>
          </w:tcPr>
          <w:p w:rsidR="00F86DC7" w:rsidRDefault="00F86DC7" w:rsidP="0081057C">
            <w:pPr>
              <w:pStyle w:val="NoSpacing"/>
              <w:spacing w:before="0" w:beforeAutospacing="0"/>
              <w:jc w:val="both"/>
              <w:rPr>
                <w:rFonts w:ascii="Times New Roman" w:eastAsia="Calibri" w:hAnsi="Times New Roman"/>
                <w:sz w:val="24"/>
                <w:szCs w:val="24"/>
              </w:rPr>
            </w:pPr>
            <w:r>
              <w:rPr>
                <w:rFonts w:ascii="Times New Roman" w:eastAsia="Calibri" w:hAnsi="Times New Roman"/>
                <w:sz w:val="24"/>
                <w:szCs w:val="24"/>
              </w:rPr>
              <w:t xml:space="preserve"> 73.300</w:t>
            </w:r>
          </w:p>
        </w:tc>
        <w:tc>
          <w:tcPr>
            <w:tcW w:w="822" w:type="dxa"/>
            <w:tcBorders>
              <w:top w:val="single" w:sz="4" w:space="0" w:color="auto"/>
              <w:left w:val="nil"/>
              <w:bottom w:val="nil"/>
              <w:right w:val="nil"/>
            </w:tcBorders>
            <w:hideMark/>
          </w:tcPr>
          <w:p w:rsidR="00F86DC7" w:rsidRDefault="00F86DC7" w:rsidP="0081057C">
            <w:pPr>
              <w:pStyle w:val="NoSpacing"/>
              <w:spacing w:before="0" w:beforeAutospacing="0"/>
              <w:jc w:val="both"/>
              <w:rPr>
                <w:rFonts w:ascii="Times New Roman" w:eastAsia="Calibri" w:hAnsi="Times New Roman"/>
                <w:sz w:val="24"/>
                <w:szCs w:val="24"/>
              </w:rPr>
            </w:pPr>
            <w:r>
              <w:rPr>
                <w:rFonts w:ascii="Times New Roman" w:eastAsia="Calibri" w:hAnsi="Times New Roman"/>
                <w:sz w:val="24"/>
                <w:szCs w:val="24"/>
              </w:rPr>
              <w:t>000</w:t>
            </w:r>
            <w:r>
              <w:rPr>
                <w:rFonts w:ascii="Times New Roman" w:eastAsia="Calibri" w:hAnsi="Times New Roman"/>
                <w:sz w:val="24"/>
                <w:szCs w:val="24"/>
                <w:vertAlign w:val="superscript"/>
              </w:rPr>
              <w:t>b</w:t>
            </w:r>
          </w:p>
        </w:tc>
      </w:tr>
      <w:tr w:rsidR="00F86DC7" w:rsidTr="0081057C">
        <w:tc>
          <w:tcPr>
            <w:tcW w:w="2429" w:type="dxa"/>
            <w:tcBorders>
              <w:top w:val="nil"/>
              <w:left w:val="nil"/>
              <w:bottom w:val="nil"/>
              <w:right w:val="nil"/>
            </w:tcBorders>
            <w:hideMark/>
          </w:tcPr>
          <w:p w:rsidR="00F86DC7" w:rsidRDefault="00F86DC7" w:rsidP="0081057C">
            <w:pPr>
              <w:pStyle w:val="NoSpacing"/>
              <w:spacing w:before="0" w:beforeAutospacing="0"/>
              <w:jc w:val="both"/>
              <w:rPr>
                <w:rFonts w:ascii="Times New Roman" w:eastAsia="Calibri" w:hAnsi="Times New Roman"/>
                <w:sz w:val="24"/>
                <w:szCs w:val="24"/>
              </w:rPr>
            </w:pPr>
            <w:r>
              <w:rPr>
                <w:rFonts w:ascii="Times New Roman" w:eastAsia="Calibri" w:hAnsi="Times New Roman"/>
                <w:sz w:val="24"/>
                <w:szCs w:val="24"/>
              </w:rPr>
              <w:t>Residual</w:t>
            </w:r>
          </w:p>
        </w:tc>
        <w:tc>
          <w:tcPr>
            <w:tcW w:w="1236" w:type="dxa"/>
            <w:tcBorders>
              <w:top w:val="nil"/>
              <w:left w:val="nil"/>
              <w:bottom w:val="nil"/>
              <w:right w:val="nil"/>
            </w:tcBorders>
            <w:hideMark/>
          </w:tcPr>
          <w:p w:rsidR="00F86DC7" w:rsidRDefault="00F86DC7" w:rsidP="0081057C">
            <w:pPr>
              <w:pStyle w:val="NoSpacing"/>
              <w:spacing w:before="0" w:beforeAutospacing="0"/>
              <w:jc w:val="both"/>
              <w:rPr>
                <w:rFonts w:ascii="Times New Roman" w:eastAsia="Calibri" w:hAnsi="Times New Roman"/>
                <w:sz w:val="24"/>
                <w:szCs w:val="24"/>
              </w:rPr>
            </w:pPr>
            <w:r>
              <w:rPr>
                <w:rFonts w:ascii="Times New Roman" w:eastAsia="Calibri" w:hAnsi="Times New Roman"/>
                <w:sz w:val="24"/>
                <w:szCs w:val="24"/>
              </w:rPr>
              <w:t>11301.832</w:t>
            </w:r>
          </w:p>
        </w:tc>
        <w:tc>
          <w:tcPr>
            <w:tcW w:w="1182" w:type="dxa"/>
            <w:tcBorders>
              <w:top w:val="nil"/>
              <w:left w:val="nil"/>
              <w:bottom w:val="nil"/>
              <w:right w:val="nil"/>
            </w:tcBorders>
            <w:hideMark/>
          </w:tcPr>
          <w:p w:rsidR="00F86DC7" w:rsidRDefault="00F86DC7" w:rsidP="0081057C">
            <w:pPr>
              <w:pStyle w:val="NoSpacing"/>
              <w:spacing w:before="0" w:beforeAutospacing="0"/>
              <w:jc w:val="both"/>
              <w:rPr>
                <w:rFonts w:ascii="Times New Roman" w:eastAsia="Calibri" w:hAnsi="Times New Roman"/>
                <w:sz w:val="24"/>
                <w:szCs w:val="24"/>
              </w:rPr>
            </w:pPr>
            <w:r>
              <w:rPr>
                <w:rFonts w:ascii="Times New Roman" w:eastAsia="Calibri" w:hAnsi="Times New Roman"/>
                <w:sz w:val="24"/>
                <w:szCs w:val="24"/>
              </w:rPr>
              <w:t>121</w:t>
            </w:r>
          </w:p>
        </w:tc>
        <w:tc>
          <w:tcPr>
            <w:tcW w:w="1116" w:type="dxa"/>
            <w:tcBorders>
              <w:top w:val="nil"/>
              <w:left w:val="nil"/>
              <w:bottom w:val="nil"/>
              <w:right w:val="nil"/>
            </w:tcBorders>
            <w:hideMark/>
          </w:tcPr>
          <w:p w:rsidR="00F86DC7" w:rsidRDefault="00F86DC7" w:rsidP="0081057C">
            <w:pPr>
              <w:pStyle w:val="NoSpacing"/>
              <w:spacing w:before="0" w:beforeAutospacing="0"/>
              <w:jc w:val="both"/>
              <w:rPr>
                <w:rFonts w:ascii="Times New Roman" w:eastAsia="Calibri" w:hAnsi="Times New Roman"/>
                <w:sz w:val="24"/>
                <w:szCs w:val="24"/>
              </w:rPr>
            </w:pPr>
            <w:r>
              <w:rPr>
                <w:rFonts w:ascii="Times New Roman" w:eastAsia="Calibri" w:hAnsi="Times New Roman"/>
                <w:sz w:val="24"/>
                <w:szCs w:val="24"/>
              </w:rPr>
              <w:t xml:space="preserve"> 37.22</w:t>
            </w:r>
          </w:p>
        </w:tc>
        <w:tc>
          <w:tcPr>
            <w:tcW w:w="945" w:type="dxa"/>
            <w:tcBorders>
              <w:top w:val="nil"/>
              <w:left w:val="nil"/>
              <w:bottom w:val="nil"/>
              <w:right w:val="nil"/>
            </w:tcBorders>
            <w:hideMark/>
          </w:tcPr>
          <w:p w:rsidR="00F86DC7" w:rsidRDefault="00F86DC7" w:rsidP="0081057C">
            <w:pPr>
              <w:pStyle w:val="NoSpacing"/>
              <w:spacing w:before="0" w:beforeAutospacing="0"/>
              <w:jc w:val="both"/>
              <w:rPr>
                <w:rFonts w:ascii="Times New Roman" w:eastAsia="Calibri" w:hAnsi="Times New Roman"/>
                <w:sz w:val="24"/>
                <w:szCs w:val="24"/>
              </w:rPr>
            </w:pPr>
            <w:r>
              <w:rPr>
                <w:rFonts w:ascii="Times New Roman" w:eastAsia="Calibri" w:hAnsi="Times New Roman"/>
                <w:sz w:val="24"/>
                <w:szCs w:val="24"/>
              </w:rPr>
              <w:t xml:space="preserve">    </w:t>
            </w:r>
          </w:p>
        </w:tc>
        <w:tc>
          <w:tcPr>
            <w:tcW w:w="822" w:type="dxa"/>
            <w:tcBorders>
              <w:top w:val="nil"/>
              <w:left w:val="nil"/>
              <w:bottom w:val="nil"/>
              <w:right w:val="nil"/>
            </w:tcBorders>
          </w:tcPr>
          <w:p w:rsidR="00F86DC7" w:rsidRDefault="00F86DC7" w:rsidP="0081057C">
            <w:pPr>
              <w:pStyle w:val="NoSpacing"/>
              <w:spacing w:before="0" w:beforeAutospacing="0"/>
              <w:jc w:val="both"/>
              <w:rPr>
                <w:rFonts w:ascii="Times New Roman" w:eastAsia="Calibri" w:hAnsi="Times New Roman"/>
                <w:sz w:val="24"/>
                <w:szCs w:val="24"/>
              </w:rPr>
            </w:pPr>
          </w:p>
        </w:tc>
      </w:tr>
      <w:tr w:rsidR="00F86DC7" w:rsidTr="0081057C">
        <w:trPr>
          <w:trHeight w:val="327"/>
        </w:trPr>
        <w:tc>
          <w:tcPr>
            <w:tcW w:w="2429" w:type="dxa"/>
            <w:tcBorders>
              <w:top w:val="nil"/>
              <w:left w:val="nil"/>
              <w:bottom w:val="single" w:sz="4" w:space="0" w:color="auto"/>
              <w:right w:val="nil"/>
            </w:tcBorders>
            <w:hideMark/>
          </w:tcPr>
          <w:p w:rsidR="00F86DC7" w:rsidRDefault="00F86DC7" w:rsidP="0081057C">
            <w:pPr>
              <w:pStyle w:val="NoSpacing"/>
              <w:spacing w:before="0" w:beforeAutospacing="0"/>
              <w:jc w:val="both"/>
              <w:rPr>
                <w:rFonts w:ascii="Times New Roman" w:eastAsia="Calibri" w:hAnsi="Times New Roman"/>
                <w:sz w:val="24"/>
                <w:szCs w:val="24"/>
              </w:rPr>
            </w:pPr>
            <w:r>
              <w:rPr>
                <w:rFonts w:ascii="Times New Roman" w:eastAsia="Calibri" w:hAnsi="Times New Roman"/>
                <w:sz w:val="24"/>
                <w:szCs w:val="24"/>
              </w:rPr>
              <w:t>Total</w:t>
            </w:r>
          </w:p>
        </w:tc>
        <w:tc>
          <w:tcPr>
            <w:tcW w:w="1236" w:type="dxa"/>
            <w:tcBorders>
              <w:top w:val="nil"/>
              <w:left w:val="nil"/>
              <w:bottom w:val="single" w:sz="4" w:space="0" w:color="auto"/>
              <w:right w:val="nil"/>
            </w:tcBorders>
            <w:hideMark/>
          </w:tcPr>
          <w:p w:rsidR="00F86DC7" w:rsidRDefault="00F86DC7" w:rsidP="0081057C">
            <w:pPr>
              <w:pStyle w:val="NoSpacing"/>
              <w:spacing w:before="0" w:beforeAutospacing="0"/>
              <w:jc w:val="both"/>
              <w:rPr>
                <w:rFonts w:ascii="Times New Roman" w:eastAsia="Calibri" w:hAnsi="Times New Roman"/>
                <w:sz w:val="24"/>
                <w:szCs w:val="24"/>
              </w:rPr>
            </w:pPr>
            <w:r>
              <w:rPr>
                <w:rFonts w:ascii="Times New Roman" w:eastAsia="Calibri" w:hAnsi="Times New Roman"/>
                <w:sz w:val="24"/>
                <w:szCs w:val="24"/>
              </w:rPr>
              <w:t>14160.033</w:t>
            </w:r>
          </w:p>
        </w:tc>
        <w:tc>
          <w:tcPr>
            <w:tcW w:w="1182" w:type="dxa"/>
            <w:tcBorders>
              <w:top w:val="nil"/>
              <w:left w:val="nil"/>
              <w:bottom w:val="single" w:sz="4" w:space="0" w:color="auto"/>
              <w:right w:val="nil"/>
            </w:tcBorders>
            <w:hideMark/>
          </w:tcPr>
          <w:p w:rsidR="00F86DC7" w:rsidRDefault="00F86DC7" w:rsidP="0081057C">
            <w:pPr>
              <w:pStyle w:val="NoSpacing"/>
              <w:spacing w:before="0" w:beforeAutospacing="0"/>
              <w:jc w:val="both"/>
              <w:rPr>
                <w:rFonts w:ascii="Times New Roman" w:eastAsia="Calibri" w:hAnsi="Times New Roman"/>
                <w:sz w:val="24"/>
                <w:szCs w:val="24"/>
              </w:rPr>
            </w:pPr>
            <w:r>
              <w:rPr>
                <w:rFonts w:ascii="Times New Roman" w:eastAsia="Calibri" w:hAnsi="Times New Roman"/>
                <w:sz w:val="24"/>
                <w:szCs w:val="24"/>
              </w:rPr>
              <w:t>122</w:t>
            </w:r>
          </w:p>
        </w:tc>
        <w:tc>
          <w:tcPr>
            <w:tcW w:w="1116" w:type="dxa"/>
            <w:tcBorders>
              <w:top w:val="nil"/>
              <w:left w:val="nil"/>
              <w:bottom w:val="single" w:sz="4" w:space="0" w:color="auto"/>
              <w:right w:val="nil"/>
            </w:tcBorders>
          </w:tcPr>
          <w:p w:rsidR="00F86DC7" w:rsidRDefault="00F86DC7" w:rsidP="0081057C">
            <w:pPr>
              <w:pStyle w:val="NoSpacing"/>
              <w:spacing w:before="0" w:beforeAutospacing="0"/>
              <w:jc w:val="both"/>
              <w:rPr>
                <w:rFonts w:ascii="Times New Roman" w:eastAsia="Calibri" w:hAnsi="Times New Roman"/>
                <w:sz w:val="24"/>
                <w:szCs w:val="24"/>
              </w:rPr>
            </w:pPr>
          </w:p>
        </w:tc>
        <w:tc>
          <w:tcPr>
            <w:tcW w:w="945" w:type="dxa"/>
            <w:tcBorders>
              <w:top w:val="nil"/>
              <w:left w:val="nil"/>
              <w:bottom w:val="single" w:sz="4" w:space="0" w:color="auto"/>
              <w:right w:val="nil"/>
            </w:tcBorders>
          </w:tcPr>
          <w:p w:rsidR="00F86DC7" w:rsidRDefault="00F86DC7" w:rsidP="0081057C">
            <w:pPr>
              <w:pStyle w:val="NoSpacing"/>
              <w:spacing w:before="0" w:beforeAutospacing="0"/>
              <w:jc w:val="both"/>
              <w:rPr>
                <w:rFonts w:ascii="Times New Roman" w:eastAsia="Calibri" w:hAnsi="Times New Roman"/>
                <w:sz w:val="24"/>
                <w:szCs w:val="24"/>
              </w:rPr>
            </w:pPr>
          </w:p>
        </w:tc>
        <w:tc>
          <w:tcPr>
            <w:tcW w:w="822" w:type="dxa"/>
            <w:tcBorders>
              <w:top w:val="nil"/>
              <w:left w:val="nil"/>
              <w:bottom w:val="single" w:sz="4" w:space="0" w:color="auto"/>
              <w:right w:val="nil"/>
            </w:tcBorders>
          </w:tcPr>
          <w:p w:rsidR="00F86DC7" w:rsidRDefault="00F86DC7" w:rsidP="0081057C">
            <w:pPr>
              <w:pStyle w:val="NoSpacing"/>
              <w:spacing w:before="0" w:beforeAutospacing="0"/>
              <w:jc w:val="both"/>
              <w:rPr>
                <w:rFonts w:ascii="Times New Roman" w:eastAsia="Calibri" w:hAnsi="Times New Roman"/>
                <w:sz w:val="24"/>
                <w:szCs w:val="24"/>
              </w:rPr>
            </w:pPr>
          </w:p>
        </w:tc>
      </w:tr>
    </w:tbl>
    <w:p w:rsidR="00F86DC7" w:rsidRDefault="00F86DC7" w:rsidP="00F86DC7">
      <w:pPr>
        <w:pStyle w:val="NoSpacing"/>
        <w:spacing w:before="0" w:beforeAutospacing="0"/>
        <w:jc w:val="both"/>
        <w:rPr>
          <w:rFonts w:ascii="Times New Roman" w:eastAsia="Calibri" w:hAnsi="Times New Roman"/>
          <w:sz w:val="24"/>
          <w:szCs w:val="24"/>
        </w:rPr>
      </w:pPr>
      <w:r>
        <w:rPr>
          <w:rFonts w:ascii="Times New Roman" w:eastAsia="Calibri" w:hAnsi="Times New Roman"/>
          <w:sz w:val="24"/>
          <w:szCs w:val="24"/>
        </w:rPr>
        <w:t xml:space="preserve">              </w:t>
      </w:r>
    </w:p>
    <w:p w:rsidR="00F86DC7" w:rsidRDefault="00F86DC7" w:rsidP="00F86DC7">
      <w:pPr>
        <w:ind w:firstLine="720"/>
        <w:jc w:val="both"/>
        <w:rPr>
          <w:color w:val="000000"/>
          <w:sz w:val="24"/>
          <w:szCs w:val="24"/>
        </w:rPr>
      </w:pPr>
      <w:r>
        <w:rPr>
          <w:sz w:val="24"/>
          <w:szCs w:val="24"/>
        </w:rPr>
        <w:t>The result of analysis presented in Table 2 shows that the F value of 73.301 associated with P value of .000 is less than 0.05 level of significance at 1 and 122 degrees of freedom. Since the p-value of 0.00 is less than the 0.05 level of significance, the null hypothesis was rejected. This implied that non-financial reward significantly influenced agricultural science teachers’ work attitude</w:t>
      </w:r>
      <w:r>
        <w:rPr>
          <w:color w:val="000000"/>
          <w:sz w:val="24"/>
          <w:szCs w:val="24"/>
        </w:rPr>
        <w:t xml:space="preserve"> in junior secondary schools in Ogoja Local Government Area, Cross River State, Nigeria</w:t>
      </w:r>
    </w:p>
    <w:p w:rsidR="00F86DC7" w:rsidRDefault="00F86DC7" w:rsidP="00F86DC7">
      <w:pPr>
        <w:ind w:firstLine="720"/>
        <w:jc w:val="both"/>
        <w:rPr>
          <w:color w:val="000000"/>
          <w:sz w:val="24"/>
          <w:szCs w:val="24"/>
        </w:rPr>
      </w:pPr>
      <w:r>
        <w:rPr>
          <w:color w:val="000000"/>
          <w:sz w:val="24"/>
          <w:szCs w:val="24"/>
        </w:rPr>
        <w:t xml:space="preserve"> </w:t>
      </w:r>
    </w:p>
    <w:p w:rsidR="00F86DC7" w:rsidRPr="00936A2B" w:rsidRDefault="00F86DC7" w:rsidP="00F86DC7">
      <w:pPr>
        <w:jc w:val="both"/>
        <w:rPr>
          <w:color w:val="000000"/>
          <w:sz w:val="24"/>
          <w:szCs w:val="24"/>
        </w:rPr>
      </w:pPr>
      <w:r>
        <w:rPr>
          <w:b/>
          <w:bCs/>
          <w:color w:val="000000"/>
          <w:sz w:val="24"/>
          <w:szCs w:val="24"/>
        </w:rPr>
        <w:t>Discussion of findings</w:t>
      </w:r>
    </w:p>
    <w:p w:rsidR="00F86DC7" w:rsidRDefault="00F86DC7" w:rsidP="00F86DC7">
      <w:pPr>
        <w:ind w:firstLine="720"/>
        <w:jc w:val="both"/>
        <w:rPr>
          <w:color w:val="000000"/>
          <w:sz w:val="24"/>
          <w:szCs w:val="24"/>
        </w:rPr>
      </w:pPr>
      <w:r>
        <w:rPr>
          <w:color w:val="000000"/>
          <w:sz w:val="24"/>
          <w:szCs w:val="24"/>
        </w:rPr>
        <w:t>The finding in this study reveals that non-monetary rewards can influence agricultural science teachers’ attitude to work in junior secondary</w:t>
      </w:r>
      <w:r>
        <w:rPr>
          <w:color w:val="000000"/>
          <w:sz w:val="24"/>
          <w:szCs w:val="24"/>
        </w:rPr>
        <w:tab/>
        <w:t>schools in Ogoja Local Government Area, Cross River State, Nigeria. This findings is in line with Lebram (2021) who in a similar study found out that</w:t>
      </w:r>
      <w:r>
        <w:rPr>
          <w:sz w:val="24"/>
          <w:szCs w:val="24"/>
        </w:rPr>
        <w:t xml:space="preserve"> non-monetary rewards such as recognition strategies geared towards performance need to be adapted to the great extent for letter of appreciation, for certificates issued to teachers for job well done.   These , the  author pointed out that  for a number of people in an organization, receiving a generous note of thanks is far more important than receiving something in terms of monetary rewards because one of the greatest employee's needs is to feel appreciated at the workplace. Human beings, the author reiterated naturally like to feel appreciated in recognition of their good deeds. Recognition encourages members of teaching staff to bring their best performance in instructional delivery. These findings strongly indicate that teachers’ recognition programmes are very useful to motivate them. </w:t>
      </w:r>
      <w:r>
        <w:rPr>
          <w:color w:val="000000"/>
          <w:sz w:val="24"/>
          <w:szCs w:val="24"/>
        </w:rPr>
        <w:t>Ewbank</w:t>
      </w:r>
      <w:r>
        <w:rPr>
          <w:color w:val="111111"/>
          <w:sz w:val="24"/>
          <w:szCs w:val="24"/>
          <w:shd w:val="clear" w:color="auto" w:fill="FFFFFF"/>
        </w:rPr>
        <w:t xml:space="preserve"> (2022) </w:t>
      </w:r>
      <w:r>
        <w:rPr>
          <w:color w:val="000000"/>
          <w:sz w:val="24"/>
          <w:szCs w:val="24"/>
        </w:rPr>
        <w:t xml:space="preserve">also pointed out </w:t>
      </w:r>
      <w:r>
        <w:rPr>
          <w:sz w:val="24"/>
          <w:szCs w:val="24"/>
        </w:rPr>
        <w:t xml:space="preserve"> that  official communication,   job redesigning , verbal communication, internal and  short message and school bulletins contributed to immensely in promoting positive work attitudes among teachers.</w:t>
      </w:r>
      <w:r>
        <w:rPr>
          <w:color w:val="000000"/>
          <w:sz w:val="24"/>
          <w:szCs w:val="24"/>
        </w:rPr>
        <w:t xml:space="preserve"> Obi (2021)</w:t>
      </w:r>
      <w:r>
        <w:rPr>
          <w:sz w:val="24"/>
          <w:szCs w:val="24"/>
        </w:rPr>
        <w:t xml:space="preserve">who in a related study revealed that non-monetary rewards can predict teachers’ performance  and work attitude as the more challenging a goal is, the higher the performance level becomes and the higher the perceived satisfaction. </w:t>
      </w:r>
      <w:r>
        <w:rPr>
          <w:color w:val="000000"/>
          <w:sz w:val="24"/>
          <w:szCs w:val="24"/>
        </w:rPr>
        <w:t xml:space="preserve">Obi (2021) </w:t>
      </w:r>
      <w:r>
        <w:rPr>
          <w:sz w:val="24"/>
          <w:szCs w:val="24"/>
        </w:rPr>
        <w:t xml:space="preserve">argues that a teacher’s   performance and work attitude is determined by the degree to which available non-financial rewards are attractive, so as efforts lead to higher levels of performance (first-level outcomes) which in turn, leads to second level outcomes (praise, friendship). Teachers need non-financial rewards to ensure that they are always at their optimum working condition. In turn, this will absolutely lead to optimum productivity. The author maintained that the value of human resource performance is a managerial concern. Employee motivation is the classic response on this matter. This has been utilized for ages by many different entities, small- and large-scale businesses alike. It fosters mutual growth in an employer employee relationship. Indeed, non-financial rewards increase performance. Non-monetary rewards can make teachers more comfortable on the job. It encourages them to contribute extra effort by developing a deal that addresses a broad of issues. </w:t>
      </w:r>
    </w:p>
    <w:p w:rsidR="00F86DC7" w:rsidRDefault="00F86DC7" w:rsidP="00F86DC7">
      <w:pPr>
        <w:ind w:firstLine="360"/>
        <w:jc w:val="both"/>
        <w:rPr>
          <w:sz w:val="24"/>
          <w:szCs w:val="24"/>
        </w:rPr>
      </w:pPr>
      <w:r>
        <w:rPr>
          <w:sz w:val="24"/>
          <w:szCs w:val="24"/>
        </w:rPr>
        <w:t xml:space="preserve">The findings of the study is in line with </w:t>
      </w:r>
      <w:r>
        <w:rPr>
          <w:bCs/>
          <w:color w:val="000000"/>
          <w:sz w:val="24"/>
          <w:szCs w:val="24"/>
        </w:rPr>
        <w:t xml:space="preserve">Chalandler (2022) </w:t>
      </w:r>
      <w:r>
        <w:rPr>
          <w:sz w:val="24"/>
          <w:szCs w:val="24"/>
        </w:rPr>
        <w:t xml:space="preserve">who on a study that </w:t>
      </w:r>
      <w:r>
        <w:rPr>
          <w:color w:val="131314"/>
          <w:sz w:val="24"/>
          <w:szCs w:val="24"/>
          <w:shd w:val="clear" w:color="auto" w:fill="FFFFFF"/>
        </w:rPr>
        <w:t>examined the relationship between non-monetary rewards (promotion, study leave and sponsorship, provision of long service awards) and teachers’ job commitment in the educational sector in Ogun State, Nigeria showed that non-monetary rewards are a strong determinant of work attitude for the teachers in the state public secondary schools.  The author noted that non-fi</w:t>
      </w:r>
      <w:r>
        <w:rPr>
          <w:sz w:val="24"/>
          <w:szCs w:val="24"/>
        </w:rPr>
        <w:t>nancial rewards are an essential ingredient of job commitment. How well a teacher is appropriately rewarded could be a significant determinant of functionality at work. Schools need highly induced teachers to achieve their goals, present good citizens and also enhance the performance of students in examinations. Teachers are expected to give a very elevated job performance as prescribed in the civil service rule. Similarly, the non-monetary methods and tools cannot be underemphasized because high motivation intensifies fruitfulness which is naturally to the benefits of all educational systems. The author also identified the non-monetary incentives include in teaching profession to include  job security, challenging work, recognition, better designation, and opportunities for advancement, participation in decision-making, competition, empowerment, autonomous work groups and job rotation.</w:t>
      </w:r>
    </w:p>
    <w:p w:rsidR="00F86DC7" w:rsidRDefault="00F86DC7" w:rsidP="00F86DC7">
      <w:pPr>
        <w:ind w:firstLine="360"/>
        <w:jc w:val="both"/>
        <w:rPr>
          <w:sz w:val="24"/>
          <w:szCs w:val="24"/>
        </w:rPr>
      </w:pPr>
      <w:r>
        <w:rPr>
          <w:sz w:val="24"/>
          <w:szCs w:val="24"/>
        </w:rPr>
        <w:t xml:space="preserve"> </w:t>
      </w:r>
    </w:p>
    <w:p w:rsidR="00F86DC7" w:rsidRDefault="00F86DC7" w:rsidP="00F86DC7">
      <w:pPr>
        <w:jc w:val="both"/>
        <w:rPr>
          <w:color w:val="000000"/>
          <w:sz w:val="24"/>
          <w:szCs w:val="24"/>
        </w:rPr>
      </w:pPr>
      <w:r>
        <w:rPr>
          <w:b/>
          <w:bCs/>
          <w:color w:val="000000"/>
          <w:sz w:val="24"/>
          <w:szCs w:val="24"/>
        </w:rPr>
        <w:t xml:space="preserve">Conclusion </w:t>
      </w:r>
    </w:p>
    <w:p w:rsidR="00F86DC7" w:rsidRDefault="00F86DC7" w:rsidP="00F86DC7">
      <w:pPr>
        <w:ind w:firstLine="720"/>
        <w:jc w:val="both"/>
        <w:rPr>
          <w:sz w:val="24"/>
          <w:szCs w:val="24"/>
        </w:rPr>
      </w:pPr>
      <w:r>
        <w:rPr>
          <w:color w:val="000000"/>
          <w:sz w:val="24"/>
          <w:szCs w:val="24"/>
        </w:rPr>
        <w:t>Based on the findings of the study and the discussion thereof, it could be concluded among other facts that reward</w:t>
      </w:r>
      <w:r>
        <w:rPr>
          <w:sz w:val="24"/>
          <w:szCs w:val="24"/>
        </w:rPr>
        <w:t xml:space="preserve"> given to an </w:t>
      </w:r>
      <w:r>
        <w:rPr>
          <w:color w:val="000000"/>
          <w:sz w:val="24"/>
          <w:szCs w:val="24"/>
        </w:rPr>
        <w:t>agricultural science teacher</w:t>
      </w:r>
      <w:r>
        <w:rPr>
          <w:sz w:val="24"/>
          <w:szCs w:val="24"/>
        </w:rPr>
        <w:t xml:space="preserve"> that is not directly monetary, such as recognition for good work, opportunities for professional development, flexible work arrangements, a positive work environment, or increased autonomy, could enhance  job satisfaction and motivation.  Public recognition or awards, career development programmes, flexible work hours, opportunities for advancement, mentorship and collaborative work culture, employee engagement initiatives, work-life balance initiatives and </w:t>
      </w:r>
      <w:r>
        <w:rPr>
          <w:rStyle w:val="15"/>
          <w:rFonts w:eastAsia="SimSun"/>
          <w:sz w:val="24"/>
          <w:szCs w:val="24"/>
        </w:rPr>
        <w:t>supportive</w:t>
      </w:r>
      <w:r>
        <w:rPr>
          <w:sz w:val="24"/>
          <w:szCs w:val="24"/>
        </w:rPr>
        <w:t xml:space="preserve"> could improve an </w:t>
      </w:r>
      <w:r>
        <w:rPr>
          <w:color w:val="000000"/>
          <w:sz w:val="24"/>
          <w:szCs w:val="24"/>
        </w:rPr>
        <w:t>agricultural science teachers’</w:t>
      </w:r>
      <w:r>
        <w:rPr>
          <w:sz w:val="24"/>
          <w:szCs w:val="24"/>
        </w:rPr>
        <w:t xml:space="preserve"> overall work experience and sense of fulfillment. </w:t>
      </w:r>
    </w:p>
    <w:p w:rsidR="00F86DC7" w:rsidRDefault="00F86DC7" w:rsidP="00F86DC7">
      <w:pPr>
        <w:jc w:val="both"/>
        <w:rPr>
          <w:b/>
          <w:bCs/>
          <w:color w:val="000000"/>
          <w:sz w:val="24"/>
          <w:szCs w:val="24"/>
        </w:rPr>
      </w:pPr>
    </w:p>
    <w:p w:rsidR="00F86DC7" w:rsidRDefault="00F86DC7" w:rsidP="00F86DC7">
      <w:pPr>
        <w:jc w:val="both"/>
        <w:rPr>
          <w:b/>
          <w:bCs/>
          <w:color w:val="000000"/>
          <w:sz w:val="24"/>
          <w:szCs w:val="24"/>
        </w:rPr>
      </w:pPr>
      <w:r>
        <w:rPr>
          <w:b/>
          <w:bCs/>
          <w:color w:val="000000"/>
          <w:sz w:val="24"/>
          <w:szCs w:val="24"/>
        </w:rPr>
        <w:t>Recommendation</w:t>
      </w:r>
    </w:p>
    <w:p w:rsidR="00F86DC7" w:rsidRDefault="00F86DC7" w:rsidP="00F86DC7">
      <w:pPr>
        <w:tabs>
          <w:tab w:val="left" w:pos="720"/>
        </w:tabs>
        <w:jc w:val="both"/>
        <w:rPr>
          <w:color w:val="000000"/>
          <w:sz w:val="24"/>
          <w:szCs w:val="24"/>
        </w:rPr>
      </w:pPr>
      <w:r>
        <w:rPr>
          <w:color w:val="000000"/>
          <w:sz w:val="24"/>
          <w:szCs w:val="24"/>
        </w:rPr>
        <w:tab/>
        <w:t xml:space="preserve">Based on the findings of the study it was recommended that agricultural science teachers should be provided with sensitive non-financial rewards such as </w:t>
      </w:r>
      <w:r>
        <w:rPr>
          <w:sz w:val="24"/>
          <w:szCs w:val="24"/>
        </w:rPr>
        <w:t>job security, challenging work, recognition, better designation, and opportunities for advancement, participation in decision-making, competition, empowerment, autonomous work groups and job rotation.</w:t>
      </w:r>
    </w:p>
    <w:p w:rsidR="00F86DC7" w:rsidRDefault="00F86DC7" w:rsidP="00F86DC7">
      <w:pPr>
        <w:jc w:val="both"/>
        <w:rPr>
          <w:b/>
          <w:bCs/>
          <w:color w:val="000000"/>
          <w:sz w:val="24"/>
          <w:szCs w:val="24"/>
        </w:rPr>
      </w:pPr>
    </w:p>
    <w:p w:rsidR="00F86DC7" w:rsidRDefault="00F86DC7" w:rsidP="00F86DC7">
      <w:pPr>
        <w:jc w:val="both"/>
        <w:rPr>
          <w:b/>
          <w:bCs/>
          <w:color w:val="000000"/>
          <w:sz w:val="24"/>
          <w:szCs w:val="24"/>
        </w:rPr>
      </w:pPr>
      <w:r>
        <w:rPr>
          <w:b/>
          <w:bCs/>
          <w:color w:val="000000"/>
          <w:sz w:val="24"/>
          <w:szCs w:val="24"/>
        </w:rPr>
        <w:t xml:space="preserve"> </w:t>
      </w:r>
    </w:p>
    <w:p w:rsidR="00F86DC7" w:rsidRDefault="00F86DC7" w:rsidP="00F86DC7">
      <w:pPr>
        <w:jc w:val="both"/>
        <w:rPr>
          <w:color w:val="000000"/>
          <w:sz w:val="24"/>
          <w:szCs w:val="24"/>
        </w:rPr>
      </w:pPr>
      <w:r>
        <w:rPr>
          <w:b/>
          <w:bCs/>
          <w:color w:val="000000"/>
          <w:sz w:val="24"/>
          <w:szCs w:val="24"/>
        </w:rPr>
        <w:t>REFERENCES</w:t>
      </w:r>
    </w:p>
    <w:p w:rsidR="00F86DC7" w:rsidRDefault="00F86DC7" w:rsidP="00F86DC7">
      <w:pPr>
        <w:ind w:left="720" w:hanging="720"/>
        <w:jc w:val="both"/>
        <w:rPr>
          <w:color w:val="000000"/>
          <w:sz w:val="24"/>
          <w:szCs w:val="24"/>
        </w:rPr>
      </w:pPr>
      <w:r>
        <w:rPr>
          <w:color w:val="000000"/>
          <w:sz w:val="24"/>
          <w:szCs w:val="24"/>
        </w:rPr>
        <w:t>Abia, T.M. (2023). Teachers’ competence as a function of</w:t>
      </w:r>
      <w:r>
        <w:rPr>
          <w:color w:val="000000"/>
          <w:sz w:val="24"/>
          <w:szCs w:val="24"/>
        </w:rPr>
        <w:tab/>
        <w:t xml:space="preserve"> conditions of service. </w:t>
      </w:r>
      <w:r>
        <w:rPr>
          <w:i/>
          <w:iCs/>
          <w:color w:val="000000"/>
          <w:sz w:val="24"/>
          <w:szCs w:val="24"/>
        </w:rPr>
        <w:t>Journal for Education Business</w:t>
      </w:r>
      <w:r>
        <w:rPr>
          <w:color w:val="000000"/>
          <w:sz w:val="24"/>
          <w:szCs w:val="24"/>
        </w:rPr>
        <w:t>, 67 (3), 388-390.</w:t>
      </w:r>
    </w:p>
    <w:p w:rsidR="00F86DC7" w:rsidRDefault="00F86DC7" w:rsidP="00F86DC7">
      <w:pPr>
        <w:ind w:left="720" w:hanging="720"/>
        <w:jc w:val="both"/>
        <w:rPr>
          <w:color w:val="000000"/>
          <w:sz w:val="24"/>
          <w:szCs w:val="24"/>
        </w:rPr>
      </w:pPr>
      <w:r>
        <w:rPr>
          <w:color w:val="000000"/>
          <w:sz w:val="24"/>
          <w:szCs w:val="24"/>
        </w:rPr>
        <w:t xml:space="preserve">Ben, C. B.  (2023). </w:t>
      </w:r>
      <w:r>
        <w:rPr>
          <w:i/>
          <w:iCs/>
          <w:color w:val="000000"/>
          <w:sz w:val="24"/>
          <w:szCs w:val="24"/>
        </w:rPr>
        <w:t xml:space="preserve">Vocational Guidance. </w:t>
      </w:r>
      <w:r>
        <w:rPr>
          <w:color w:val="000000"/>
          <w:sz w:val="24"/>
          <w:szCs w:val="24"/>
        </w:rPr>
        <w:t>Lagos: Neoage</w:t>
      </w:r>
    </w:p>
    <w:p w:rsidR="00F86DC7" w:rsidRDefault="00F86DC7" w:rsidP="00F86DC7">
      <w:pPr>
        <w:ind w:left="720" w:hanging="720"/>
        <w:jc w:val="both"/>
        <w:rPr>
          <w:color w:val="000000"/>
          <w:sz w:val="24"/>
          <w:szCs w:val="24"/>
        </w:rPr>
      </w:pPr>
      <w:r>
        <w:rPr>
          <w:color w:val="000000"/>
          <w:sz w:val="24"/>
          <w:szCs w:val="24"/>
        </w:rPr>
        <w:t xml:space="preserve">Burr, T. (2022).  </w:t>
      </w:r>
      <w:r>
        <w:rPr>
          <w:i/>
          <w:iCs/>
          <w:color w:val="000000"/>
          <w:sz w:val="24"/>
          <w:szCs w:val="24"/>
        </w:rPr>
        <w:t>Work and motivation</w:t>
      </w:r>
      <w:r>
        <w:rPr>
          <w:color w:val="000000"/>
          <w:sz w:val="24"/>
          <w:szCs w:val="24"/>
        </w:rPr>
        <w:t>.  New York: John Wiley.</w:t>
      </w:r>
    </w:p>
    <w:p w:rsidR="00F86DC7" w:rsidRDefault="00F86DC7" w:rsidP="00F86DC7">
      <w:pPr>
        <w:ind w:left="720" w:hanging="720"/>
        <w:jc w:val="both"/>
        <w:rPr>
          <w:bCs/>
          <w:color w:val="000000"/>
          <w:sz w:val="24"/>
          <w:szCs w:val="24"/>
        </w:rPr>
      </w:pPr>
      <w:r>
        <w:rPr>
          <w:bCs/>
          <w:color w:val="000000"/>
          <w:sz w:val="24"/>
          <w:szCs w:val="24"/>
        </w:rPr>
        <w:t xml:space="preserve">Chalandler, S.I. (2022). Teacher performance and related need satisfaction. </w:t>
      </w:r>
      <w:r>
        <w:rPr>
          <w:bCs/>
          <w:i/>
          <w:iCs/>
          <w:color w:val="000000"/>
          <w:sz w:val="24"/>
          <w:szCs w:val="24"/>
        </w:rPr>
        <w:t>Psychological monographs 36,</w:t>
      </w:r>
      <w:r>
        <w:rPr>
          <w:bCs/>
          <w:color w:val="000000"/>
          <w:sz w:val="24"/>
          <w:szCs w:val="24"/>
        </w:rPr>
        <w:t xml:space="preserve"> (4) 12-17.</w:t>
      </w:r>
    </w:p>
    <w:p w:rsidR="00F86DC7" w:rsidRDefault="00F86DC7" w:rsidP="00F86DC7">
      <w:pPr>
        <w:ind w:left="720" w:hanging="720"/>
        <w:jc w:val="both"/>
        <w:rPr>
          <w:color w:val="000000"/>
          <w:sz w:val="24"/>
          <w:szCs w:val="24"/>
        </w:rPr>
      </w:pPr>
      <w:r>
        <w:rPr>
          <w:color w:val="000000"/>
          <w:sz w:val="24"/>
          <w:szCs w:val="24"/>
        </w:rPr>
        <w:t xml:space="preserve">Edem, R.I. (2017). Teacher promotion and students performance. </w:t>
      </w:r>
      <w:r>
        <w:rPr>
          <w:i/>
          <w:iCs/>
          <w:color w:val="000000"/>
          <w:sz w:val="24"/>
          <w:szCs w:val="24"/>
        </w:rPr>
        <w:t>West African Journal of Education</w:t>
      </w:r>
      <w:r>
        <w:rPr>
          <w:color w:val="000000"/>
          <w:sz w:val="24"/>
          <w:szCs w:val="24"/>
        </w:rPr>
        <w:t xml:space="preserve"> 5 (9), 210-221.</w:t>
      </w:r>
    </w:p>
    <w:p w:rsidR="00F86DC7" w:rsidRDefault="00F86DC7" w:rsidP="00F86DC7">
      <w:pPr>
        <w:ind w:left="720" w:hanging="720"/>
        <w:jc w:val="both"/>
        <w:rPr>
          <w:color w:val="000000"/>
          <w:sz w:val="24"/>
          <w:szCs w:val="24"/>
        </w:rPr>
      </w:pPr>
      <w:r>
        <w:rPr>
          <w:color w:val="000000"/>
          <w:sz w:val="24"/>
          <w:szCs w:val="24"/>
        </w:rPr>
        <w:t xml:space="preserve">Ewbank, R. (2022). Teacher competence as a tool for improved performance. </w:t>
      </w:r>
      <w:r>
        <w:rPr>
          <w:i/>
          <w:iCs/>
          <w:color w:val="000000"/>
          <w:sz w:val="24"/>
          <w:szCs w:val="24"/>
        </w:rPr>
        <w:t>Journal of research in secondary teaching</w:t>
      </w:r>
      <w:r>
        <w:rPr>
          <w:color w:val="000000"/>
          <w:sz w:val="24"/>
          <w:szCs w:val="24"/>
        </w:rPr>
        <w:t>, 15(2), 443-447.</w:t>
      </w:r>
    </w:p>
    <w:p w:rsidR="00F86DC7" w:rsidRDefault="00F86DC7" w:rsidP="00F86DC7">
      <w:pPr>
        <w:ind w:left="720" w:hanging="720"/>
        <w:jc w:val="both"/>
        <w:rPr>
          <w:color w:val="000000"/>
          <w:sz w:val="24"/>
          <w:szCs w:val="24"/>
        </w:rPr>
      </w:pPr>
      <w:r>
        <w:rPr>
          <w:color w:val="000000"/>
          <w:sz w:val="24"/>
          <w:szCs w:val="24"/>
        </w:rPr>
        <w:t xml:space="preserve">Herzberg, F. Mansuer, B. &amp; Synderman, B. (2019). </w:t>
      </w:r>
      <w:r>
        <w:rPr>
          <w:i/>
          <w:iCs/>
          <w:color w:val="000000"/>
          <w:sz w:val="24"/>
          <w:szCs w:val="24"/>
        </w:rPr>
        <w:t>The Motivation to work</w:t>
      </w:r>
      <w:r>
        <w:rPr>
          <w:color w:val="000000"/>
          <w:sz w:val="24"/>
          <w:szCs w:val="24"/>
        </w:rPr>
        <w:t>. New York: John Wiley.</w:t>
      </w:r>
    </w:p>
    <w:p w:rsidR="00F86DC7" w:rsidRDefault="00F86DC7" w:rsidP="00F86DC7">
      <w:pPr>
        <w:ind w:left="720" w:hanging="720"/>
        <w:jc w:val="both"/>
        <w:rPr>
          <w:color w:val="000000"/>
          <w:sz w:val="24"/>
          <w:szCs w:val="24"/>
        </w:rPr>
      </w:pPr>
      <w:r>
        <w:rPr>
          <w:color w:val="000000"/>
          <w:sz w:val="24"/>
          <w:szCs w:val="24"/>
        </w:rPr>
        <w:t xml:space="preserve">International Labour Organization (ILO) (2018). </w:t>
      </w:r>
      <w:r>
        <w:rPr>
          <w:i/>
          <w:iCs/>
          <w:color w:val="000000"/>
          <w:sz w:val="24"/>
          <w:szCs w:val="24"/>
        </w:rPr>
        <w:t>Global Wage Report Geneva</w:t>
      </w:r>
      <w:r>
        <w:rPr>
          <w:color w:val="000000"/>
          <w:sz w:val="24"/>
          <w:szCs w:val="24"/>
        </w:rPr>
        <w:t>, P. 35.</w:t>
      </w:r>
    </w:p>
    <w:p w:rsidR="00F86DC7" w:rsidRDefault="00F86DC7" w:rsidP="00F86DC7">
      <w:pPr>
        <w:ind w:left="720" w:hanging="720"/>
        <w:jc w:val="both"/>
        <w:rPr>
          <w:color w:val="000000"/>
          <w:sz w:val="24"/>
          <w:szCs w:val="24"/>
        </w:rPr>
      </w:pPr>
      <w:r>
        <w:rPr>
          <w:color w:val="000000"/>
          <w:sz w:val="24"/>
          <w:szCs w:val="24"/>
        </w:rPr>
        <w:t xml:space="preserve">Lebram, P. F. (2021) </w:t>
      </w:r>
      <w:r>
        <w:rPr>
          <w:i/>
          <w:iCs/>
          <w:color w:val="000000"/>
          <w:sz w:val="24"/>
          <w:szCs w:val="24"/>
        </w:rPr>
        <w:t>Appraising teachers performance: A catalyst to improvement</w:t>
      </w:r>
      <w:r>
        <w:rPr>
          <w:color w:val="000000"/>
          <w:sz w:val="24"/>
          <w:szCs w:val="24"/>
        </w:rPr>
        <w:t xml:space="preserve">. </w:t>
      </w:r>
      <w:r>
        <w:rPr>
          <w:i/>
          <w:iCs/>
          <w:color w:val="000000"/>
          <w:sz w:val="24"/>
          <w:szCs w:val="24"/>
        </w:rPr>
        <w:t>NASSP Bulletin</w:t>
      </w:r>
      <w:r>
        <w:rPr>
          <w:color w:val="000000"/>
          <w:sz w:val="24"/>
          <w:szCs w:val="24"/>
        </w:rPr>
        <w:t xml:space="preserve"> 70, 56-60.</w:t>
      </w:r>
    </w:p>
    <w:p w:rsidR="00F86DC7" w:rsidRDefault="00F86DC7" w:rsidP="00F86DC7">
      <w:pPr>
        <w:ind w:left="720" w:hanging="720"/>
        <w:jc w:val="both"/>
        <w:rPr>
          <w:color w:val="000000"/>
          <w:sz w:val="24"/>
          <w:szCs w:val="24"/>
        </w:rPr>
      </w:pPr>
      <w:r>
        <w:rPr>
          <w:color w:val="000000"/>
          <w:sz w:val="24"/>
          <w:szCs w:val="24"/>
        </w:rPr>
        <w:t>Microsoft Business Website (2021). “</w:t>
      </w:r>
      <w:r>
        <w:rPr>
          <w:i/>
          <w:iCs/>
          <w:color w:val="000000"/>
          <w:sz w:val="24"/>
          <w:szCs w:val="24"/>
        </w:rPr>
        <w:t>Incentives to workers and Attitude to wor</w:t>
      </w:r>
      <w:r>
        <w:rPr>
          <w:color w:val="000000"/>
          <w:sz w:val="24"/>
          <w:szCs w:val="24"/>
        </w:rPr>
        <w:t>k.</w:t>
      </w:r>
    </w:p>
    <w:p w:rsidR="00F86DC7" w:rsidRDefault="00F86DC7" w:rsidP="00F86DC7">
      <w:pPr>
        <w:ind w:left="720" w:hanging="720"/>
        <w:jc w:val="both"/>
        <w:rPr>
          <w:color w:val="000000"/>
          <w:sz w:val="24"/>
          <w:szCs w:val="24"/>
        </w:rPr>
      </w:pPr>
      <w:r>
        <w:rPr>
          <w:color w:val="000000"/>
          <w:sz w:val="24"/>
          <w:szCs w:val="24"/>
        </w:rPr>
        <w:t xml:space="preserve">Obi, S. (2021). Teachers condition of service and educational standard. </w:t>
      </w:r>
      <w:r>
        <w:rPr>
          <w:i/>
          <w:iCs/>
          <w:color w:val="000000"/>
          <w:sz w:val="24"/>
          <w:szCs w:val="24"/>
        </w:rPr>
        <w:t>Journal of vocational Behaviour</w:t>
      </w:r>
      <w:r>
        <w:rPr>
          <w:color w:val="000000"/>
          <w:sz w:val="24"/>
          <w:szCs w:val="24"/>
        </w:rPr>
        <w:t>. 29 (2) 65-74</w:t>
      </w:r>
    </w:p>
    <w:p w:rsidR="00F86DC7" w:rsidRDefault="00F86DC7" w:rsidP="00F86DC7">
      <w:pPr>
        <w:ind w:left="720" w:hanging="720"/>
        <w:jc w:val="both"/>
        <w:rPr>
          <w:color w:val="000000"/>
          <w:sz w:val="24"/>
          <w:szCs w:val="24"/>
        </w:rPr>
      </w:pPr>
      <w:r>
        <w:rPr>
          <w:color w:val="000000"/>
          <w:sz w:val="24"/>
          <w:szCs w:val="24"/>
        </w:rPr>
        <w:t xml:space="preserve">Oduwaiye, R. O. (2014). Improving teacher performance through management intervention. </w:t>
      </w:r>
      <w:r>
        <w:rPr>
          <w:i/>
          <w:iCs/>
          <w:color w:val="000000"/>
          <w:sz w:val="24"/>
          <w:szCs w:val="24"/>
        </w:rPr>
        <w:t>Journal of Quality Education</w:t>
      </w:r>
      <w:r>
        <w:rPr>
          <w:color w:val="000000"/>
          <w:sz w:val="24"/>
          <w:szCs w:val="24"/>
        </w:rPr>
        <w:t>, 3 (11), 14-29</w:t>
      </w:r>
    </w:p>
    <w:p w:rsidR="00F86DC7" w:rsidRDefault="00F86DC7" w:rsidP="00F86DC7">
      <w:pPr>
        <w:ind w:left="720" w:hanging="720"/>
        <w:jc w:val="both"/>
        <w:rPr>
          <w:color w:val="000000"/>
          <w:sz w:val="24"/>
          <w:szCs w:val="24"/>
        </w:rPr>
      </w:pPr>
      <w:r>
        <w:rPr>
          <w:color w:val="000000"/>
          <w:sz w:val="24"/>
          <w:szCs w:val="24"/>
        </w:rPr>
        <w:t xml:space="preserve">Patchen, A; Kyriacon, J. &amp; Sutchiff, H. (2021). Job involvement and workers promotion. </w:t>
      </w:r>
      <w:r>
        <w:rPr>
          <w:i/>
          <w:iCs/>
          <w:color w:val="000000"/>
          <w:sz w:val="24"/>
          <w:szCs w:val="24"/>
        </w:rPr>
        <w:t>International Review of Applied Psychology</w:t>
      </w:r>
      <w:r>
        <w:rPr>
          <w:color w:val="000000"/>
          <w:sz w:val="24"/>
          <w:szCs w:val="24"/>
        </w:rPr>
        <w:t>, 46 (3), 66-77.</w:t>
      </w:r>
    </w:p>
    <w:p w:rsidR="00F86DC7" w:rsidRDefault="00F86DC7" w:rsidP="00F86DC7">
      <w:pPr>
        <w:ind w:left="720" w:hanging="720"/>
        <w:jc w:val="both"/>
        <w:rPr>
          <w:color w:val="000000"/>
          <w:sz w:val="24"/>
          <w:szCs w:val="24"/>
        </w:rPr>
      </w:pPr>
      <w:r>
        <w:rPr>
          <w:color w:val="000000"/>
          <w:sz w:val="24"/>
          <w:szCs w:val="24"/>
        </w:rPr>
        <w:t xml:space="preserve">Sansawai, R. (2023). </w:t>
      </w:r>
      <w:r>
        <w:rPr>
          <w:i/>
          <w:iCs/>
          <w:color w:val="000000"/>
          <w:sz w:val="24"/>
          <w:szCs w:val="24"/>
        </w:rPr>
        <w:t>Education Supervision and Teachers Effectiveness</w:t>
      </w:r>
      <w:r>
        <w:rPr>
          <w:color w:val="000000"/>
          <w:sz w:val="24"/>
          <w:szCs w:val="24"/>
        </w:rPr>
        <w:t xml:space="preserve">. London: Macmillan. </w:t>
      </w:r>
    </w:p>
    <w:p w:rsidR="00F86DC7" w:rsidRDefault="00F86DC7" w:rsidP="00F86DC7">
      <w:pPr>
        <w:ind w:left="720" w:hanging="720"/>
        <w:jc w:val="both"/>
        <w:rPr>
          <w:bCs/>
          <w:color w:val="000000"/>
          <w:sz w:val="24"/>
          <w:szCs w:val="24"/>
        </w:rPr>
      </w:pPr>
      <w:r>
        <w:rPr>
          <w:bCs/>
          <w:color w:val="000000"/>
          <w:sz w:val="24"/>
          <w:szCs w:val="24"/>
        </w:rPr>
        <w:t xml:space="preserve">Ukoha, B. (2022). Teacher-in-service training and performance in secondary school Mathematics. </w:t>
      </w:r>
      <w:r>
        <w:rPr>
          <w:bCs/>
          <w:i/>
          <w:iCs/>
          <w:color w:val="000000"/>
          <w:sz w:val="24"/>
          <w:szCs w:val="24"/>
        </w:rPr>
        <w:t>Journal of Research in Secondary Teaching</w:t>
      </w:r>
      <w:r>
        <w:rPr>
          <w:bCs/>
          <w:color w:val="000000"/>
          <w:sz w:val="24"/>
          <w:szCs w:val="24"/>
        </w:rPr>
        <w:t>, 81 (11), 241-253.</w:t>
      </w:r>
    </w:p>
    <w:p w:rsidR="00F86DC7" w:rsidRDefault="00F86DC7" w:rsidP="00F86DC7"/>
    <w:p w:rsidR="00F86DC7" w:rsidRDefault="00F86DC7" w:rsidP="00F86DC7"/>
    <w:p w:rsidR="00F86DC7" w:rsidRPr="0089690A" w:rsidRDefault="00F86DC7" w:rsidP="00F86DC7">
      <w:pPr>
        <w:spacing w:before="1"/>
        <w:rPr>
          <w:sz w:val="26"/>
          <w:szCs w:val="26"/>
        </w:rPr>
      </w:pPr>
    </w:p>
    <w:p w:rsidR="00F86DC7" w:rsidRDefault="00F86DC7" w:rsidP="00F86DC7"/>
    <w:p w:rsidR="00742604" w:rsidRDefault="00742604"/>
    <w:sectPr w:rsidR="00742604" w:rsidSect="00602A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82D28"/>
    <w:multiLevelType w:val="multilevel"/>
    <w:tmpl w:val="3DBA526E"/>
    <w:lvl w:ilvl="0">
      <w:start w:val="1"/>
      <w:numFmt w:val="lowerRoman"/>
      <w:lvlText w:val="%1."/>
      <w:lvlJc w:val="right"/>
      <w:pPr>
        <w:ind w:left="480" w:hanging="480"/>
      </w:pPr>
      <w:rPr>
        <w:rFonts w:ascii="Times New Roman" w:hAnsi="Times New Roman" w:cs="Times New Roman" w:hint="default"/>
      </w:rPr>
    </w:lvl>
    <w:lvl w:ilvl="1">
      <w:start w:val="2"/>
      <w:numFmt w:val="decimal"/>
      <w:lvlText w:val="%1.%2"/>
      <w:lvlJc w:val="left"/>
      <w:pPr>
        <w:ind w:left="480" w:hanging="480"/>
      </w:pPr>
      <w:rPr>
        <w:rFonts w:ascii="Times New Roman" w:hAnsi="Times New Roman" w:cs="Times New Roman" w:hint="default"/>
      </w:rPr>
    </w:lvl>
    <w:lvl w:ilvl="2">
      <w:start w:val="4"/>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16cid:durableId="684018657">
    <w:abstractNumId w:val="0"/>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DC7"/>
    <w:rsid w:val="00742604"/>
    <w:rsid w:val="00D65DD9"/>
    <w:rsid w:val="00F86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1A424E-D520-6A4A-83A3-E0DC8707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C7"/>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86DC7"/>
    <w:pPr>
      <w:ind w:left="885" w:right="47" w:hanging="720"/>
      <w:jc w:val="both"/>
    </w:pPr>
  </w:style>
  <w:style w:type="paragraph" w:styleId="NoSpacing">
    <w:name w:val="No Spacing"/>
    <w:basedOn w:val="Normal"/>
    <w:uiPriority w:val="99"/>
    <w:qFormat/>
    <w:rsid w:val="00F86DC7"/>
    <w:pPr>
      <w:widowControl/>
      <w:autoSpaceDE/>
      <w:autoSpaceDN/>
      <w:spacing w:before="100" w:beforeAutospacing="1"/>
    </w:pPr>
    <w:rPr>
      <w:rFonts w:ascii="Calibri" w:hAnsi="Calibri"/>
    </w:rPr>
  </w:style>
  <w:style w:type="paragraph" w:styleId="NormalWeb">
    <w:name w:val="Normal (Web)"/>
    <w:basedOn w:val="Normal"/>
    <w:uiPriority w:val="99"/>
    <w:unhideWhenUsed/>
    <w:rsid w:val="00F86DC7"/>
    <w:pPr>
      <w:widowControl/>
      <w:autoSpaceDE/>
      <w:autoSpaceDN/>
      <w:spacing w:before="100" w:beforeAutospacing="1" w:after="100" w:afterAutospacing="1"/>
    </w:pPr>
    <w:rPr>
      <w:sz w:val="24"/>
      <w:szCs w:val="24"/>
    </w:rPr>
  </w:style>
  <w:style w:type="character" w:customStyle="1" w:styleId="15">
    <w:name w:val="15"/>
    <w:basedOn w:val="DefaultParagraphFont"/>
    <w:rsid w:val="00F86DC7"/>
    <w:rPr>
      <w:rFonts w:ascii="Calibri" w:hAnsi="Calibri" w:cs="Calibri"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5352</Words>
  <Characters>30511</Characters>
  <Application>Microsoft Office Word</Application>
  <DocSecurity>0</DocSecurity>
  <Lines>254</Lines>
  <Paragraphs>71</Paragraphs>
  <ScaleCrop>false</ScaleCrop>
  <Company>HP</Company>
  <LinksUpToDate>false</LinksUpToDate>
  <CharactersWithSpaces>35792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PST. DR. E. E. OKON</dc:creator>
  <cp:lastModifiedBy>kenaceetee@gmail.com</cp:lastModifiedBy>
  <cp:revision>2</cp:revision>
  <dcterms:created xsi:type="dcterms:W3CDTF">2025-12-17T06:22:00Z</dcterms:created>
  <dcterms:modified xsi:type="dcterms:W3CDTF">2025-12-17T06:22:00Z</dcterms:modified>
</cp:coreProperties>
</file>